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3D65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EE1D71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F695A0C" wp14:editId="67B064C9">
            <wp:extent cx="638175" cy="733425"/>
            <wp:effectExtent l="0" t="0" r="9525" b="9525"/>
            <wp:docPr id="1557811041" name="Attēls 1" descr="Attēls, kurā ir skečs, zīmējums, klipkopa, simbol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11041" name="Attēls 1" descr="Attēls, kurā ir skečs, zīmējums, klipkopa, simbol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1533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1D71">
        <w:rPr>
          <w:rFonts w:ascii="Times New Roman" w:hAnsi="Times New Roman" w:cs="Times New Roman"/>
          <w:bCs/>
          <w:sz w:val="24"/>
          <w:szCs w:val="24"/>
        </w:rPr>
        <w:t>Jēkabpils novada pašvaldība</w:t>
      </w:r>
    </w:p>
    <w:p w14:paraId="4A140045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1D71">
        <w:rPr>
          <w:rFonts w:ascii="Times New Roman" w:hAnsi="Times New Roman" w:cs="Times New Roman"/>
          <w:b/>
          <w:sz w:val="24"/>
          <w:szCs w:val="24"/>
        </w:rPr>
        <w:t>Sūnu pamatskola</w:t>
      </w:r>
    </w:p>
    <w:p w14:paraId="7C5B407D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1D71">
        <w:rPr>
          <w:rFonts w:ascii="Times New Roman" w:hAnsi="Times New Roman" w:cs="Times New Roman"/>
          <w:sz w:val="24"/>
          <w:szCs w:val="24"/>
        </w:rPr>
        <w:t>Reģistrācijas Nr.4512900284</w:t>
      </w:r>
    </w:p>
    <w:p w14:paraId="53C5EB0D" w14:textId="77777777" w:rsidR="00EE1D71" w:rsidRPr="00EE1D71" w:rsidRDefault="00EE1D71" w:rsidP="00EE1D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D71">
        <w:rPr>
          <w:rFonts w:ascii="Times New Roman" w:hAnsi="Times New Roman" w:cs="Times New Roman"/>
          <w:bCs/>
          <w:sz w:val="24"/>
          <w:szCs w:val="24"/>
        </w:rPr>
        <w:t>Skolas iela 1, Kūkas, Kūku pagastā, Jēkabpils novadā, LV- 5222</w:t>
      </w:r>
    </w:p>
    <w:p w14:paraId="6AD74470" w14:textId="77777777" w:rsidR="00EE1D71" w:rsidRPr="00EE1D71" w:rsidRDefault="00EE1D71" w:rsidP="00EE1D7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D71">
        <w:rPr>
          <w:rFonts w:ascii="Times New Roman" w:hAnsi="Times New Roman" w:cs="Times New Roman"/>
          <w:bCs/>
          <w:sz w:val="24"/>
          <w:szCs w:val="24"/>
        </w:rPr>
        <w:t>tālrunis 6-52-28004; e-pasts: sunupsk@edu.jekabpils.lv</w:t>
      </w:r>
    </w:p>
    <w:p w14:paraId="48BC57EB" w14:textId="130FBBEA" w:rsidR="00733467" w:rsidRPr="000D3457" w:rsidRDefault="00733467" w:rsidP="00B9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41BCF" w14:textId="0F562E3B" w:rsidR="00733467" w:rsidRPr="000D3457" w:rsidRDefault="00733467" w:rsidP="00B03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IEKŠĒJIE NOTEIKUMI</w:t>
      </w:r>
    </w:p>
    <w:p w14:paraId="55C5680B" w14:textId="6588C255" w:rsidR="00733467" w:rsidRPr="000D3457" w:rsidRDefault="00733467" w:rsidP="00B032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Skolēnu mācību sasniegumu vērtēšanas kārtība</w:t>
      </w:r>
    </w:p>
    <w:p w14:paraId="06BF1A41" w14:textId="631F7AC7" w:rsidR="00EE1D71" w:rsidRPr="000D3457" w:rsidRDefault="00141095" w:rsidP="000D3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E1D71" w:rsidRPr="000D345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1D71" w:rsidRPr="000D3457">
        <w:rPr>
          <w:rFonts w:ascii="Times New Roman" w:hAnsi="Times New Roman" w:cs="Times New Roman"/>
          <w:sz w:val="24"/>
          <w:szCs w:val="24"/>
        </w:rPr>
        <w:t>.202</w:t>
      </w:r>
      <w:r w:rsidR="00622BCC">
        <w:rPr>
          <w:rFonts w:ascii="Times New Roman" w:hAnsi="Times New Roman" w:cs="Times New Roman"/>
          <w:sz w:val="24"/>
          <w:szCs w:val="24"/>
        </w:rPr>
        <w:t>5</w:t>
      </w:r>
      <w:r w:rsidR="00EE1D71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20448626" w14:textId="4B31F502" w:rsidR="00733467" w:rsidRPr="000D3457" w:rsidRDefault="00733467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Izdot</w:t>
      </w:r>
      <w:r w:rsidR="00DC44A5" w:rsidRPr="000D345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 saskaņā ar</w:t>
      </w:r>
    </w:p>
    <w:p w14:paraId="41EF9272" w14:textId="70F65B6B" w:rsidR="00733467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Vispārējās izglītības likuma 10.panta trešās daļas 2.punktu, </w:t>
      </w:r>
    </w:p>
    <w:p w14:paraId="3C51D9DB" w14:textId="7AE6F532" w:rsidR="001B6F74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Ministru kabineta 27.11.2018. noteikumu Nr.747 ,,Noteikumi par valsts </w:t>
      </w:r>
    </w:p>
    <w:p w14:paraId="4901F978" w14:textId="3FEE43C2" w:rsidR="001B6F74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pamatizglītības standartu un pamatizglītības programmu paraugiem”</w:t>
      </w:r>
    </w:p>
    <w:p w14:paraId="3725BFC2" w14:textId="69CE938F" w:rsidR="001B6F74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15.punktu un 11.pielikuma 19.punktu,</w:t>
      </w:r>
    </w:p>
    <w:p w14:paraId="5461F932" w14:textId="74621E62" w:rsidR="00B032D9" w:rsidRPr="000D3457" w:rsidRDefault="00C14B2E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032D9" w:rsidRPr="000D3457">
        <w:rPr>
          <w:rFonts w:ascii="Times New Roman" w:hAnsi="Times New Roman" w:cs="Times New Roman"/>
          <w:i/>
          <w:iCs/>
          <w:sz w:val="24"/>
          <w:szCs w:val="24"/>
        </w:rPr>
        <w:t>zglītības iestādes nolikuma</w:t>
      </w:r>
      <w:r w:rsidR="00535FBE"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Pr="000D34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32D9"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 punktu.</w:t>
      </w:r>
    </w:p>
    <w:p w14:paraId="15AA56E0" w14:textId="77777777" w:rsidR="00B032D9" w:rsidRPr="000D3457" w:rsidRDefault="00B032D9" w:rsidP="000D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58B6A" w14:textId="0580D869" w:rsidR="00B032D9" w:rsidRPr="000D3457" w:rsidRDefault="00B032D9" w:rsidP="000D34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D23EB2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457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09364C63" w14:textId="59842B92" w:rsidR="00B032D9" w:rsidRPr="000D3457" w:rsidRDefault="00B032D9" w:rsidP="000D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78A7F" w14:textId="49ADE94F" w:rsidR="00B032D9" w:rsidRPr="000D3457" w:rsidRDefault="00B032D9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Skolēnu mācību sasniegumu vērtēšanas kārtība (turpmāk – vērtēšanas kārtība) izglītības iestādē (turpmāk – skolā) nosaka, kā tiek īstenota </w:t>
      </w:r>
      <w:r w:rsidR="00FE582F" w:rsidRPr="000D3457">
        <w:rPr>
          <w:rFonts w:ascii="Times New Roman" w:hAnsi="Times New Roman" w:cs="Times New Roman"/>
          <w:sz w:val="24"/>
          <w:szCs w:val="24"/>
        </w:rPr>
        <w:t>formatīvā</w:t>
      </w:r>
      <w:r w:rsidRPr="000D3457">
        <w:rPr>
          <w:rFonts w:ascii="Times New Roman" w:hAnsi="Times New Roman" w:cs="Times New Roman"/>
          <w:sz w:val="24"/>
          <w:szCs w:val="24"/>
        </w:rPr>
        <w:t>, diagnosticējošā</w:t>
      </w:r>
      <w:r w:rsidR="00A33CA4">
        <w:rPr>
          <w:rFonts w:ascii="Times New Roman" w:hAnsi="Times New Roman" w:cs="Times New Roman"/>
          <w:sz w:val="24"/>
          <w:szCs w:val="24"/>
        </w:rPr>
        <w:t xml:space="preserve"> un</w:t>
      </w:r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FE582F" w:rsidRPr="000D3457">
        <w:rPr>
          <w:rFonts w:ascii="Times New Roman" w:hAnsi="Times New Roman" w:cs="Times New Roman"/>
          <w:sz w:val="24"/>
          <w:szCs w:val="24"/>
        </w:rPr>
        <w:t>summatīvā</w:t>
      </w:r>
      <w:r w:rsidR="00FE582F">
        <w:rPr>
          <w:rFonts w:ascii="Times New Roman" w:hAnsi="Times New Roman" w:cs="Times New Roman"/>
          <w:sz w:val="24"/>
          <w:szCs w:val="24"/>
        </w:rPr>
        <w:t xml:space="preserve"> </w:t>
      </w:r>
      <w:r w:rsidRPr="000D3457">
        <w:rPr>
          <w:rFonts w:ascii="Times New Roman" w:hAnsi="Times New Roman" w:cs="Times New Roman"/>
          <w:sz w:val="24"/>
          <w:szCs w:val="24"/>
        </w:rPr>
        <w:t>vērtēšana</w:t>
      </w:r>
      <w:r w:rsidR="00A33CA4">
        <w:rPr>
          <w:rFonts w:ascii="Times New Roman" w:hAnsi="Times New Roman" w:cs="Times New Roman"/>
          <w:sz w:val="24"/>
          <w:szCs w:val="24"/>
        </w:rPr>
        <w:t>,</w:t>
      </w:r>
      <w:r w:rsidRPr="000D3457">
        <w:rPr>
          <w:rFonts w:ascii="Times New Roman" w:hAnsi="Times New Roman" w:cs="Times New Roman"/>
          <w:sz w:val="24"/>
          <w:szCs w:val="24"/>
        </w:rPr>
        <w:t xml:space="preserve"> un skolas dokumentos atspoguļoti skolēnu mācīšanās rezultāti.</w:t>
      </w:r>
    </w:p>
    <w:p w14:paraId="3D34DFB4" w14:textId="63EEB48C" w:rsidR="00535FBE" w:rsidRPr="000D3457" w:rsidRDefault="00535FBE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Vērtēšanas kārtība nosaka vienotus skolēnu mācīšanās vērtēšanas pamatprincipus skolā un veicina skolēnu un pedagogu izpratni</w:t>
      </w:r>
      <w:r w:rsidR="00B84D8B" w:rsidRPr="000D3457">
        <w:rPr>
          <w:rFonts w:ascii="Times New Roman" w:hAnsi="Times New Roman" w:cs="Times New Roman"/>
          <w:sz w:val="24"/>
          <w:szCs w:val="24"/>
        </w:rPr>
        <w:t xml:space="preserve"> par tiem</w:t>
      </w:r>
      <w:r w:rsidRPr="000D3457">
        <w:rPr>
          <w:rFonts w:ascii="Times New Roman" w:hAnsi="Times New Roman" w:cs="Times New Roman"/>
          <w:sz w:val="24"/>
          <w:szCs w:val="24"/>
        </w:rPr>
        <w:t>.</w:t>
      </w:r>
    </w:p>
    <w:p w14:paraId="780D9D0D" w14:textId="15D6EFA2" w:rsidR="00C14B2E" w:rsidRPr="000D3457" w:rsidRDefault="00C14B2E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Ar vērtēšanas kārtību klašu audzinātāji </w:t>
      </w:r>
      <w:r w:rsidR="00D305A3" w:rsidRPr="000D3457">
        <w:rPr>
          <w:rFonts w:ascii="Times New Roman" w:hAnsi="Times New Roman" w:cs="Times New Roman"/>
          <w:sz w:val="24"/>
          <w:szCs w:val="24"/>
        </w:rPr>
        <w:t>iepazīstina skolēnus katra mācību gada sākumā.</w:t>
      </w:r>
      <w:r w:rsidR="005474CD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D305A3" w:rsidRPr="000D3457">
        <w:rPr>
          <w:rFonts w:ascii="Times New Roman" w:hAnsi="Times New Roman" w:cs="Times New Roman"/>
          <w:sz w:val="24"/>
          <w:szCs w:val="24"/>
        </w:rPr>
        <w:t xml:space="preserve">Skolēns skolas sagatavotā veidlapā ar parakstu apliecina, ka ir iepazinies ar vērtēšanas kārtību. </w:t>
      </w:r>
    </w:p>
    <w:p w14:paraId="5E031CCA" w14:textId="7075747C" w:rsidR="001B6F74" w:rsidRPr="000D3457" w:rsidRDefault="00D23EB2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Skola nepilngadīgu skolēnu likumiskos pārstāvjus (turpmāk – vecākus) ar vērtēšanas kārtību iepazīstina katra mācību gada sākumā, elektroniski nosūtot to skolvadības sistēmā (turpmāk – E</w:t>
      </w:r>
      <w:r w:rsidR="00350BD4" w:rsidRPr="000D3457">
        <w:rPr>
          <w:rFonts w:ascii="Times New Roman" w:hAnsi="Times New Roman" w:cs="Times New Roman"/>
          <w:sz w:val="24"/>
          <w:szCs w:val="24"/>
        </w:rPr>
        <w:t>-</w:t>
      </w:r>
      <w:r w:rsidRPr="000D3457">
        <w:rPr>
          <w:rFonts w:ascii="Times New Roman" w:hAnsi="Times New Roman" w:cs="Times New Roman"/>
          <w:sz w:val="24"/>
          <w:szCs w:val="24"/>
        </w:rPr>
        <w:t>klase). Vērtēšanas kārtīb</w:t>
      </w:r>
      <w:r w:rsidR="005474CD" w:rsidRPr="000D3457">
        <w:rPr>
          <w:rFonts w:ascii="Times New Roman" w:hAnsi="Times New Roman" w:cs="Times New Roman"/>
          <w:sz w:val="24"/>
          <w:szCs w:val="24"/>
        </w:rPr>
        <w:t>a pieejama arī skolas mājaslapā www.sunupamatskola.lv</w:t>
      </w:r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7C6A0" w14:textId="77777777" w:rsidR="006779FE" w:rsidRPr="000D3457" w:rsidRDefault="006779FE" w:rsidP="000D3457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F44A1" w14:textId="510A7F5C" w:rsidR="00733467" w:rsidRPr="000D3457" w:rsidRDefault="001709C4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A2B" w:rsidRPr="000D3457">
        <w:rPr>
          <w:rFonts w:ascii="Times New Roman" w:hAnsi="Times New Roman" w:cs="Times New Roman"/>
          <w:b/>
          <w:bCs/>
          <w:sz w:val="24"/>
          <w:szCs w:val="24"/>
        </w:rPr>
        <w:t>Mācību snieguma vērtēšanas plānošana</w:t>
      </w:r>
    </w:p>
    <w:p w14:paraId="7A942F37" w14:textId="77777777" w:rsidR="00B46E18" w:rsidRPr="000D3457" w:rsidRDefault="009D0F1A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Skola plāno un īsteno valsts pamatizglītības standartā </w:t>
      </w:r>
      <w:r w:rsidR="00BA24CA" w:rsidRPr="000D3457">
        <w:rPr>
          <w:rFonts w:ascii="Times New Roman" w:hAnsi="Times New Roman" w:cs="Times New Roman"/>
          <w:sz w:val="24"/>
          <w:szCs w:val="24"/>
        </w:rPr>
        <w:t>noteiktos mācību snieguma vērtēšanas veidus:</w:t>
      </w:r>
    </w:p>
    <w:p w14:paraId="39423493" w14:textId="6EDF5F85" w:rsidR="00D85A2B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2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95BB8" w:rsidRPr="00FE582F">
        <w:rPr>
          <w:rFonts w:ascii="Times New Roman" w:hAnsi="Times New Roman" w:cs="Times New Roman"/>
          <w:b/>
          <w:bCs/>
          <w:sz w:val="24"/>
          <w:szCs w:val="24"/>
        </w:rPr>
        <w:t>ormatīvā vērtēšana</w:t>
      </w:r>
      <w:r w:rsidR="00995BB8" w:rsidRPr="000D3457">
        <w:rPr>
          <w:rFonts w:ascii="Times New Roman" w:hAnsi="Times New Roman" w:cs="Times New Roman"/>
          <w:sz w:val="24"/>
          <w:szCs w:val="24"/>
        </w:rPr>
        <w:t xml:space="preserve">, kas ir ikdienas mācību procesa sastāvdaļa un </w:t>
      </w:r>
      <w:r w:rsidR="00A24636" w:rsidRPr="000D3457">
        <w:rPr>
          <w:rFonts w:ascii="Times New Roman" w:hAnsi="Times New Roman" w:cs="Times New Roman"/>
          <w:sz w:val="24"/>
          <w:szCs w:val="24"/>
        </w:rPr>
        <w:t>nodrošina skolēnam un pedagogam atgriezenisko saiti par skolēna tā brīža sniegumu</w:t>
      </w:r>
      <w:r w:rsidR="00EC5BC9" w:rsidRPr="000D3457">
        <w:rPr>
          <w:rFonts w:ascii="Times New Roman" w:hAnsi="Times New Roman" w:cs="Times New Roman"/>
          <w:sz w:val="24"/>
          <w:szCs w:val="24"/>
        </w:rPr>
        <w:t xml:space="preserve"> pret plānotajiem sasniedzamajiem rezultātiem;</w:t>
      </w:r>
    </w:p>
    <w:p w14:paraId="667D5B08" w14:textId="303D9515" w:rsidR="00245DED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2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579EA" w:rsidRPr="00FE582F">
        <w:rPr>
          <w:rFonts w:ascii="Times New Roman" w:hAnsi="Times New Roman" w:cs="Times New Roman"/>
          <w:b/>
          <w:bCs/>
          <w:sz w:val="24"/>
          <w:szCs w:val="24"/>
        </w:rPr>
        <w:t>iagnosticējošā vērtēšana</w:t>
      </w:r>
      <w:r w:rsidR="006579EA" w:rsidRPr="000D3457">
        <w:rPr>
          <w:rFonts w:ascii="Times New Roman" w:hAnsi="Times New Roman" w:cs="Times New Roman"/>
          <w:sz w:val="24"/>
          <w:szCs w:val="24"/>
        </w:rPr>
        <w:t xml:space="preserve">, lai noteiktu skolēna mācīšanās </w:t>
      </w:r>
      <w:r w:rsidR="009931CE" w:rsidRPr="000D3457">
        <w:rPr>
          <w:rFonts w:ascii="Times New Roman" w:hAnsi="Times New Roman" w:cs="Times New Roman"/>
          <w:sz w:val="24"/>
          <w:szCs w:val="24"/>
        </w:rPr>
        <w:t>vajadzības un sniegtu skolēnam papildus atbalstu, plānotu un uzlabotu mācīšanu;</w:t>
      </w:r>
    </w:p>
    <w:p w14:paraId="007D9965" w14:textId="1754AA19" w:rsidR="004226C9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82BDC" w:rsidRPr="00FE582F">
        <w:rPr>
          <w:rFonts w:ascii="Times New Roman" w:hAnsi="Times New Roman" w:cs="Times New Roman"/>
          <w:b/>
          <w:bCs/>
          <w:sz w:val="24"/>
          <w:szCs w:val="24"/>
        </w:rPr>
        <w:t>ummatīvā vērtēšana</w:t>
      </w:r>
      <w:r w:rsidR="006F3056" w:rsidRPr="000D3457">
        <w:rPr>
          <w:rFonts w:ascii="Times New Roman" w:hAnsi="Times New Roman" w:cs="Times New Roman"/>
          <w:sz w:val="24"/>
          <w:szCs w:val="24"/>
        </w:rPr>
        <w:t>, ko organizē mācīšanās posma nobeigumā</w:t>
      </w:r>
      <w:r w:rsidR="004C72DC" w:rsidRPr="000D3457">
        <w:rPr>
          <w:rFonts w:ascii="Times New Roman" w:hAnsi="Times New Roman" w:cs="Times New Roman"/>
          <w:sz w:val="24"/>
          <w:szCs w:val="24"/>
        </w:rPr>
        <w:t xml:space="preserve"> (piemēram, temata,</w:t>
      </w:r>
      <w:r w:rsidR="00A53D94" w:rsidRPr="000D3457">
        <w:rPr>
          <w:rFonts w:ascii="Times New Roman" w:hAnsi="Times New Roman" w:cs="Times New Roman"/>
          <w:sz w:val="24"/>
          <w:szCs w:val="24"/>
        </w:rPr>
        <w:t xml:space="preserve"> temata daļas</w:t>
      </w:r>
      <w:r w:rsidR="00D66552" w:rsidRPr="000D3457">
        <w:rPr>
          <w:rFonts w:ascii="Times New Roman" w:hAnsi="Times New Roman" w:cs="Times New Roman"/>
          <w:sz w:val="24"/>
          <w:szCs w:val="24"/>
        </w:rPr>
        <w:t>,</w:t>
      </w:r>
      <w:r w:rsidR="004C72DC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15532B" w:rsidRPr="000D3457">
        <w:rPr>
          <w:rFonts w:ascii="Times New Roman" w:hAnsi="Times New Roman" w:cs="Times New Roman"/>
          <w:sz w:val="24"/>
          <w:szCs w:val="24"/>
        </w:rPr>
        <w:t>mācību gada</w:t>
      </w:r>
      <w:r w:rsidR="00DA4EF9" w:rsidRPr="000D3457">
        <w:rPr>
          <w:rFonts w:ascii="Times New Roman" w:hAnsi="Times New Roman" w:cs="Times New Roman"/>
          <w:sz w:val="24"/>
          <w:szCs w:val="24"/>
        </w:rPr>
        <w:t xml:space="preserve">, </w:t>
      </w:r>
      <w:r w:rsidR="000964C7" w:rsidRPr="000D3457">
        <w:rPr>
          <w:rFonts w:ascii="Times New Roman" w:hAnsi="Times New Roman" w:cs="Times New Roman"/>
          <w:sz w:val="24"/>
          <w:szCs w:val="24"/>
        </w:rPr>
        <w:t>izglītības pakāpes noslēgumā)</w:t>
      </w:r>
      <w:r w:rsidR="00D66552" w:rsidRPr="000D3457">
        <w:rPr>
          <w:rFonts w:ascii="Times New Roman" w:hAnsi="Times New Roman" w:cs="Times New Roman"/>
          <w:sz w:val="24"/>
          <w:szCs w:val="24"/>
        </w:rPr>
        <w:t xml:space="preserve">, lai novērtētu un </w:t>
      </w:r>
      <w:r w:rsidR="00E44715" w:rsidRPr="000D3457">
        <w:rPr>
          <w:rFonts w:ascii="Times New Roman" w:hAnsi="Times New Roman" w:cs="Times New Roman"/>
          <w:sz w:val="24"/>
          <w:szCs w:val="24"/>
        </w:rPr>
        <w:t>dokumentētu skolēna mācīšanās rezultātu.</w:t>
      </w:r>
    </w:p>
    <w:p w14:paraId="720EE957" w14:textId="26DA11A0" w:rsidR="00660121" w:rsidRPr="00141095" w:rsidRDefault="00CE0D7D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095">
        <w:rPr>
          <w:rFonts w:ascii="Times New Roman" w:hAnsi="Times New Roman" w:cs="Times New Roman"/>
          <w:sz w:val="24"/>
          <w:szCs w:val="24"/>
        </w:rPr>
        <w:lastRenderedPageBreak/>
        <w:t xml:space="preserve">Līdz </w:t>
      </w:r>
      <w:r w:rsidR="00622BCC" w:rsidRPr="00141095">
        <w:rPr>
          <w:rFonts w:ascii="Times New Roman" w:hAnsi="Times New Roman" w:cs="Times New Roman"/>
          <w:sz w:val="24"/>
          <w:szCs w:val="24"/>
        </w:rPr>
        <w:t>20</w:t>
      </w:r>
      <w:r w:rsidRPr="00141095">
        <w:rPr>
          <w:rFonts w:ascii="Times New Roman" w:hAnsi="Times New Roman" w:cs="Times New Roman"/>
          <w:sz w:val="24"/>
          <w:szCs w:val="24"/>
        </w:rPr>
        <w:t xml:space="preserve">.septembrim </w:t>
      </w:r>
      <w:r w:rsidRPr="000D3457">
        <w:rPr>
          <w:rFonts w:ascii="Times New Roman" w:hAnsi="Times New Roman" w:cs="Times New Roman"/>
          <w:sz w:val="24"/>
          <w:szCs w:val="24"/>
        </w:rPr>
        <w:t xml:space="preserve">skolēniem un vecākiem E-klasē tiek nosūtīts visu mācību priekšmetu </w:t>
      </w:r>
      <w:r w:rsidR="00622BCC">
        <w:rPr>
          <w:rFonts w:ascii="Times New Roman" w:hAnsi="Times New Roman" w:cs="Times New Roman"/>
          <w:sz w:val="24"/>
          <w:szCs w:val="24"/>
        </w:rPr>
        <w:t xml:space="preserve">summatīvais </w:t>
      </w:r>
      <w:r w:rsidR="00D14AF3" w:rsidRPr="000D3457">
        <w:rPr>
          <w:rFonts w:ascii="Times New Roman" w:hAnsi="Times New Roman" w:cs="Times New Roman"/>
          <w:sz w:val="24"/>
          <w:szCs w:val="24"/>
        </w:rPr>
        <w:t>vērtēšanas plāns</w:t>
      </w:r>
      <w:r w:rsidR="003B7AAC" w:rsidRPr="000D3457">
        <w:rPr>
          <w:rFonts w:ascii="Times New Roman" w:hAnsi="Times New Roman" w:cs="Times New Roman"/>
          <w:sz w:val="24"/>
          <w:szCs w:val="24"/>
        </w:rPr>
        <w:t>, kas ietver summatīvās vērtēšanas darbu skaitu</w:t>
      </w:r>
      <w:r w:rsidR="00984581">
        <w:rPr>
          <w:rFonts w:ascii="Times New Roman" w:hAnsi="Times New Roman" w:cs="Times New Roman"/>
          <w:sz w:val="24"/>
          <w:szCs w:val="24"/>
        </w:rPr>
        <w:t xml:space="preserve">, </w:t>
      </w:r>
      <w:r w:rsidR="00A73BD1" w:rsidRPr="000D3457">
        <w:rPr>
          <w:rFonts w:ascii="Times New Roman" w:hAnsi="Times New Roman" w:cs="Times New Roman"/>
          <w:sz w:val="24"/>
          <w:szCs w:val="24"/>
        </w:rPr>
        <w:t>tematu</w:t>
      </w:r>
      <w:r w:rsidR="008372FA">
        <w:rPr>
          <w:rFonts w:ascii="Times New Roman" w:hAnsi="Times New Roman" w:cs="Times New Roman"/>
          <w:sz w:val="24"/>
          <w:szCs w:val="24"/>
        </w:rPr>
        <w:t xml:space="preserve"> un </w:t>
      </w:r>
      <w:r w:rsidR="00543397">
        <w:rPr>
          <w:rFonts w:ascii="Times New Roman" w:hAnsi="Times New Roman" w:cs="Times New Roman"/>
          <w:sz w:val="24"/>
          <w:szCs w:val="24"/>
        </w:rPr>
        <w:t xml:space="preserve">katram darbam piešķirto </w:t>
      </w:r>
      <w:r w:rsidR="008372FA">
        <w:rPr>
          <w:rFonts w:ascii="Times New Roman" w:hAnsi="Times New Roman" w:cs="Times New Roman"/>
          <w:sz w:val="24"/>
          <w:szCs w:val="24"/>
        </w:rPr>
        <w:t>svaru</w:t>
      </w:r>
      <w:r w:rsidR="00B80F69">
        <w:rPr>
          <w:rFonts w:ascii="Times New Roman" w:hAnsi="Times New Roman" w:cs="Times New Roman"/>
          <w:sz w:val="24"/>
          <w:szCs w:val="24"/>
        </w:rPr>
        <w:t>.</w:t>
      </w:r>
      <w:r w:rsid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A657DF" w:rsidRPr="00141095">
        <w:rPr>
          <w:rFonts w:ascii="Times New Roman" w:hAnsi="Times New Roman" w:cs="Times New Roman"/>
          <w:sz w:val="24"/>
          <w:szCs w:val="24"/>
        </w:rPr>
        <w:t>Pārbaudes darbu plānotāju sastād</w:t>
      </w:r>
      <w:r w:rsidR="00543397" w:rsidRPr="00141095">
        <w:rPr>
          <w:rFonts w:ascii="Times New Roman" w:hAnsi="Times New Roman" w:cs="Times New Roman"/>
          <w:sz w:val="24"/>
          <w:szCs w:val="24"/>
        </w:rPr>
        <w:t>a</w:t>
      </w:r>
      <w:r w:rsidR="00A657DF" w:rsidRPr="00141095">
        <w:rPr>
          <w:rFonts w:ascii="Times New Roman" w:hAnsi="Times New Roman" w:cs="Times New Roman"/>
          <w:sz w:val="24"/>
          <w:szCs w:val="24"/>
        </w:rPr>
        <w:t xml:space="preserve"> visam gadam</w:t>
      </w:r>
      <w:r w:rsidR="00774E0E" w:rsidRPr="00141095">
        <w:rPr>
          <w:rFonts w:ascii="Times New Roman" w:hAnsi="Times New Roman" w:cs="Times New Roman"/>
          <w:sz w:val="24"/>
          <w:szCs w:val="24"/>
        </w:rPr>
        <w:t>.</w:t>
      </w:r>
    </w:p>
    <w:p w14:paraId="0EAFBE65" w14:textId="588DACC4" w:rsidR="00815843" w:rsidRPr="000D3457" w:rsidRDefault="00872DE4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Katra mācību gada sākumā </w:t>
      </w:r>
      <w:r w:rsidR="00E44185" w:rsidRPr="000D3457">
        <w:rPr>
          <w:rFonts w:ascii="Times New Roman" w:hAnsi="Times New Roman" w:cs="Times New Roman"/>
          <w:sz w:val="24"/>
          <w:szCs w:val="24"/>
        </w:rPr>
        <w:t xml:space="preserve">mācību priekšmeta pedagogs iepazīstina skolēnus ar </w:t>
      </w:r>
      <w:r w:rsidR="009658FF" w:rsidRPr="000D3457">
        <w:rPr>
          <w:rFonts w:ascii="Times New Roman" w:hAnsi="Times New Roman" w:cs="Times New Roman"/>
          <w:sz w:val="24"/>
          <w:szCs w:val="24"/>
        </w:rPr>
        <w:t>attiecīgā mācību priekšmeta vērtēšanas plānu</w:t>
      </w:r>
      <w:r w:rsidR="00CF0D9D" w:rsidRPr="000D3457">
        <w:rPr>
          <w:rFonts w:ascii="Times New Roman" w:hAnsi="Times New Roman" w:cs="Times New Roman"/>
          <w:sz w:val="24"/>
          <w:szCs w:val="24"/>
        </w:rPr>
        <w:t xml:space="preserve">, kas </w:t>
      </w:r>
      <w:r w:rsidR="007D090B" w:rsidRPr="000D3457">
        <w:rPr>
          <w:rFonts w:ascii="Times New Roman" w:hAnsi="Times New Roman" w:cs="Times New Roman"/>
          <w:sz w:val="24"/>
          <w:szCs w:val="24"/>
        </w:rPr>
        <w:t>ietver summatīvās vērtēša</w:t>
      </w:r>
      <w:r w:rsidR="005474CD" w:rsidRPr="000D3457">
        <w:rPr>
          <w:rFonts w:ascii="Times New Roman" w:hAnsi="Times New Roman" w:cs="Times New Roman"/>
          <w:sz w:val="24"/>
          <w:szCs w:val="24"/>
        </w:rPr>
        <w:t xml:space="preserve">nas darbu skaitu, </w:t>
      </w:r>
      <w:r w:rsidR="00710DD6" w:rsidRPr="000D3457">
        <w:rPr>
          <w:rFonts w:ascii="Times New Roman" w:hAnsi="Times New Roman" w:cs="Times New Roman"/>
          <w:sz w:val="24"/>
          <w:szCs w:val="24"/>
        </w:rPr>
        <w:t>tematu</w:t>
      </w:r>
      <w:r w:rsidR="004D0A49">
        <w:rPr>
          <w:rFonts w:ascii="Times New Roman" w:hAnsi="Times New Roman" w:cs="Times New Roman"/>
          <w:sz w:val="24"/>
          <w:szCs w:val="24"/>
        </w:rPr>
        <w:t xml:space="preserve">, </w:t>
      </w:r>
      <w:r w:rsidR="00643514">
        <w:rPr>
          <w:rFonts w:ascii="Times New Roman" w:hAnsi="Times New Roman" w:cs="Times New Roman"/>
          <w:sz w:val="24"/>
          <w:szCs w:val="24"/>
        </w:rPr>
        <w:t>katram darbam piešķirto svaru</w:t>
      </w:r>
      <w:r w:rsidR="00985DD5" w:rsidRPr="000D3457">
        <w:rPr>
          <w:rFonts w:ascii="Times New Roman" w:hAnsi="Times New Roman" w:cs="Times New Roman"/>
          <w:sz w:val="24"/>
          <w:szCs w:val="24"/>
        </w:rPr>
        <w:t xml:space="preserve"> un mācību priekšmeta </w:t>
      </w:r>
      <w:r w:rsidR="00F5572C" w:rsidRPr="000D3457">
        <w:rPr>
          <w:rFonts w:ascii="Times New Roman" w:hAnsi="Times New Roman" w:cs="Times New Roman"/>
          <w:sz w:val="24"/>
          <w:szCs w:val="24"/>
        </w:rPr>
        <w:t>vērtējumu iegūšanas nosacījumus.</w:t>
      </w:r>
    </w:p>
    <w:p w14:paraId="5D429C3A" w14:textId="0A95FAB2" w:rsidR="00C5515C" w:rsidRPr="003B7A41" w:rsidRDefault="00710DD6" w:rsidP="003B7A41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gada noslēguma </w:t>
      </w:r>
      <w:r w:rsidR="00B11164" w:rsidRPr="000D3457">
        <w:rPr>
          <w:rFonts w:ascii="Times New Roman" w:hAnsi="Times New Roman" w:cs="Times New Roman"/>
          <w:sz w:val="24"/>
          <w:szCs w:val="24"/>
        </w:rPr>
        <w:t>v</w:t>
      </w:r>
      <w:r w:rsidR="00C5515C" w:rsidRPr="000D3457">
        <w:rPr>
          <w:rFonts w:ascii="Times New Roman" w:hAnsi="Times New Roman" w:cs="Times New Roman"/>
          <w:sz w:val="24"/>
          <w:szCs w:val="24"/>
        </w:rPr>
        <w:t xml:space="preserve">ērtējumu mācību priekšmetā var iegūt, </w:t>
      </w:r>
      <w:r w:rsidR="009642C0" w:rsidRPr="000D3457">
        <w:rPr>
          <w:rFonts w:ascii="Times New Roman" w:hAnsi="Times New Roman" w:cs="Times New Roman"/>
          <w:sz w:val="24"/>
          <w:szCs w:val="24"/>
        </w:rPr>
        <w:t>ja iegūti vērtējumi visos plānotajos summatīvās vērtēšanas darbos</w:t>
      </w:r>
      <w:r w:rsidR="003014D1">
        <w:rPr>
          <w:rFonts w:ascii="Times New Roman" w:hAnsi="Times New Roman" w:cs="Times New Roman"/>
          <w:sz w:val="24"/>
          <w:szCs w:val="24"/>
        </w:rPr>
        <w:t xml:space="preserve"> mācību gada ietvaros</w:t>
      </w:r>
      <w:r w:rsidR="00B47339">
        <w:rPr>
          <w:rFonts w:ascii="Times New Roman" w:hAnsi="Times New Roman" w:cs="Times New Roman"/>
          <w:sz w:val="24"/>
          <w:szCs w:val="24"/>
        </w:rPr>
        <w:t>;</w:t>
      </w:r>
      <w:r w:rsidR="00834752" w:rsidRPr="00834752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</w:p>
    <w:p w14:paraId="4CEAD2E0" w14:textId="398CDAFF" w:rsidR="00C73D72" w:rsidRPr="000D3457" w:rsidRDefault="005E24C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izl</w:t>
      </w:r>
      <w:r w:rsidR="004C046B" w:rsidRPr="000D3457">
        <w:rPr>
          <w:rFonts w:ascii="Times New Roman" w:hAnsi="Times New Roman" w:cs="Times New Roman"/>
          <w:sz w:val="24"/>
          <w:szCs w:val="24"/>
        </w:rPr>
        <w:t xml:space="preserve">iekot gada noslēguma vērtējumu </w:t>
      </w:r>
      <w:r w:rsidRPr="000D3457">
        <w:rPr>
          <w:rFonts w:ascii="Times New Roman" w:hAnsi="Times New Roman" w:cs="Times New Roman"/>
          <w:sz w:val="24"/>
          <w:szCs w:val="24"/>
        </w:rPr>
        <w:t xml:space="preserve">ievēro šādu principu, </w:t>
      </w:r>
      <w:r w:rsidR="00710DD6" w:rsidRPr="000D3457">
        <w:rPr>
          <w:rFonts w:ascii="Times New Roman" w:hAnsi="Times New Roman" w:cs="Times New Roman"/>
          <w:sz w:val="24"/>
          <w:szCs w:val="24"/>
        </w:rPr>
        <w:t>j</w:t>
      </w:r>
      <w:r w:rsidR="00954DBD" w:rsidRPr="000D3457">
        <w:rPr>
          <w:rFonts w:ascii="Times New Roman" w:hAnsi="Times New Roman" w:cs="Times New Roman"/>
          <w:sz w:val="24"/>
          <w:szCs w:val="24"/>
        </w:rPr>
        <w:t xml:space="preserve">a vidējais vērtējums </w:t>
      </w:r>
      <w:r w:rsidR="00954DBD" w:rsidRPr="007C2A2D">
        <w:rPr>
          <w:rFonts w:ascii="Times New Roman" w:hAnsi="Times New Roman" w:cs="Times New Roman"/>
          <w:sz w:val="24"/>
          <w:szCs w:val="24"/>
        </w:rPr>
        <w:t>aiz komata ir vismaz 0,</w:t>
      </w:r>
      <w:r w:rsidR="00706DC9" w:rsidRPr="007C2A2D">
        <w:rPr>
          <w:rFonts w:ascii="Times New Roman" w:hAnsi="Times New Roman" w:cs="Times New Roman"/>
          <w:sz w:val="24"/>
          <w:szCs w:val="24"/>
        </w:rPr>
        <w:t>5</w:t>
      </w:r>
      <w:r w:rsidR="007C2A2D" w:rsidRPr="007C2A2D">
        <w:rPr>
          <w:rFonts w:ascii="Times New Roman" w:hAnsi="Times New Roman" w:cs="Times New Roman"/>
          <w:sz w:val="24"/>
          <w:szCs w:val="24"/>
        </w:rPr>
        <w:t>0</w:t>
      </w:r>
      <w:r w:rsidR="00954DBD" w:rsidRPr="000D3457">
        <w:rPr>
          <w:rFonts w:ascii="Times New Roman" w:hAnsi="Times New Roman" w:cs="Times New Roman"/>
          <w:sz w:val="24"/>
          <w:szCs w:val="24"/>
        </w:rPr>
        <w:t xml:space="preserve">, tad vērtējumu </w:t>
      </w:r>
      <w:r w:rsidR="00260470" w:rsidRPr="000D3457">
        <w:rPr>
          <w:rFonts w:ascii="Times New Roman" w:hAnsi="Times New Roman" w:cs="Times New Roman"/>
          <w:sz w:val="24"/>
          <w:szCs w:val="24"/>
        </w:rPr>
        <w:t>noapaļo ar uzviju.</w:t>
      </w:r>
      <w:r w:rsidR="00F35C77"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6D40A" w14:textId="2694C1D4" w:rsidR="000D12A9" w:rsidRPr="000D3457" w:rsidRDefault="00166248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Skolēnam dienā</w:t>
      </w:r>
      <w:r w:rsidR="004C046B" w:rsidRPr="000D3457">
        <w:rPr>
          <w:rFonts w:ascii="Times New Roman" w:hAnsi="Times New Roman" w:cs="Times New Roman"/>
          <w:sz w:val="24"/>
          <w:szCs w:val="24"/>
        </w:rPr>
        <w:t xml:space="preserve"> tiek plānot</w:t>
      </w:r>
      <w:r w:rsidR="003B7FA3" w:rsidRPr="000D3457">
        <w:rPr>
          <w:rFonts w:ascii="Times New Roman" w:hAnsi="Times New Roman" w:cs="Times New Roman"/>
          <w:sz w:val="24"/>
          <w:szCs w:val="24"/>
        </w:rPr>
        <w:t>i</w:t>
      </w:r>
      <w:r w:rsidR="004C046B" w:rsidRPr="000D3457">
        <w:rPr>
          <w:rFonts w:ascii="Times New Roman" w:hAnsi="Times New Roman" w:cs="Times New Roman"/>
          <w:sz w:val="24"/>
          <w:szCs w:val="24"/>
        </w:rPr>
        <w:t xml:space="preserve"> ne vairāk kā divi</w:t>
      </w:r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E54B8D">
        <w:rPr>
          <w:rFonts w:ascii="Times New Roman" w:hAnsi="Times New Roman" w:cs="Times New Roman"/>
          <w:sz w:val="24"/>
          <w:szCs w:val="24"/>
        </w:rPr>
        <w:t>summatīvie</w:t>
      </w:r>
      <w:r w:rsidRPr="000D3457">
        <w:rPr>
          <w:rFonts w:ascii="Times New Roman" w:hAnsi="Times New Roman" w:cs="Times New Roman"/>
          <w:sz w:val="24"/>
          <w:szCs w:val="24"/>
        </w:rPr>
        <w:t xml:space="preserve"> vērtēšanas darb</w:t>
      </w:r>
      <w:r w:rsidR="008657BE">
        <w:rPr>
          <w:rFonts w:ascii="Times New Roman" w:hAnsi="Times New Roman" w:cs="Times New Roman"/>
          <w:sz w:val="24"/>
          <w:szCs w:val="24"/>
        </w:rPr>
        <w:t>i</w:t>
      </w:r>
      <w:r w:rsidRPr="000D3457">
        <w:rPr>
          <w:rFonts w:ascii="Times New Roman" w:hAnsi="Times New Roman" w:cs="Times New Roman"/>
          <w:sz w:val="24"/>
          <w:szCs w:val="24"/>
        </w:rPr>
        <w:t xml:space="preserve">. Darbu norises laiku pedagogs fiksē E-klasē pārbaudes darbu plānotājā mācību gada sākumā, koriģē (ja nepieciešams) ne vēlāk kā </w:t>
      </w:r>
      <w:r w:rsidR="003724C2" w:rsidRPr="000D34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3457">
        <w:rPr>
          <w:rFonts w:ascii="Times New Roman" w:hAnsi="Times New Roman" w:cs="Times New Roman"/>
          <w:sz w:val="24"/>
          <w:szCs w:val="24"/>
        </w:rPr>
        <w:t xml:space="preserve"> darba dienas pirms darba norises, atzīmējot to plānotājā un informējot skolēnus</w:t>
      </w:r>
      <w:r w:rsidR="00A915C4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6582DF40" w14:textId="18D95EDF" w:rsidR="008E4313" w:rsidRPr="000D3457" w:rsidRDefault="003F5637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Pirms katra </w:t>
      </w:r>
      <w:r w:rsidR="00604DFA">
        <w:rPr>
          <w:rFonts w:ascii="Times New Roman" w:hAnsi="Times New Roman" w:cs="Times New Roman"/>
          <w:sz w:val="24"/>
          <w:szCs w:val="24"/>
        </w:rPr>
        <w:t>summatīvā</w:t>
      </w:r>
      <w:r w:rsidRPr="000D3457">
        <w:rPr>
          <w:rFonts w:ascii="Times New Roman" w:hAnsi="Times New Roman" w:cs="Times New Roman"/>
          <w:sz w:val="24"/>
          <w:szCs w:val="24"/>
        </w:rPr>
        <w:t xml:space="preserve"> vērtēšanas darba mācību priekšmeta pedagogs informē </w:t>
      </w:r>
      <w:r w:rsidR="00F251AA" w:rsidRPr="000D3457">
        <w:rPr>
          <w:rFonts w:ascii="Times New Roman" w:hAnsi="Times New Roman" w:cs="Times New Roman"/>
          <w:sz w:val="24"/>
          <w:szCs w:val="24"/>
        </w:rPr>
        <w:t>skolēnus par plānoto sasniedzamo rezultātu un vērtēšanas kritērijiem.</w:t>
      </w:r>
    </w:p>
    <w:p w14:paraId="0FE5951F" w14:textId="3F4602D7" w:rsidR="008C33AE" w:rsidRPr="007B50A0" w:rsidRDefault="008E4313" w:rsidP="008C33A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Mācību priekšmeta pedagogs pielāgo mācību </w:t>
      </w:r>
      <w:r w:rsidR="00946B57" w:rsidRPr="000D3457">
        <w:rPr>
          <w:rFonts w:ascii="Times New Roman" w:hAnsi="Times New Roman" w:cs="Times New Roman"/>
          <w:sz w:val="24"/>
          <w:szCs w:val="24"/>
        </w:rPr>
        <w:t xml:space="preserve">snieguma vērtēšanu </w:t>
      </w:r>
      <w:r w:rsidR="008C33AE" w:rsidRPr="007B50A0">
        <w:rPr>
          <w:rFonts w:ascii="Times New Roman" w:hAnsi="Times New Roman" w:cs="Times New Roman"/>
          <w:sz w:val="24"/>
          <w:szCs w:val="24"/>
          <w:u w:val="single"/>
        </w:rPr>
        <w:t>ikviena</w:t>
      </w:r>
      <w:r w:rsidR="008C33AE" w:rsidRPr="007B50A0">
        <w:rPr>
          <w:rFonts w:ascii="Times New Roman" w:hAnsi="Times New Roman" w:cs="Times New Roman"/>
          <w:sz w:val="24"/>
          <w:szCs w:val="24"/>
        </w:rPr>
        <w:t xml:space="preserve"> skolēna dažādajām mācīšanās vajadzībām</w:t>
      </w:r>
      <w:r w:rsidR="006B612D">
        <w:rPr>
          <w:rFonts w:ascii="Times New Roman" w:hAnsi="Times New Roman" w:cs="Times New Roman"/>
          <w:sz w:val="24"/>
          <w:szCs w:val="24"/>
        </w:rPr>
        <w:t xml:space="preserve"> (iekļau</w:t>
      </w:r>
      <w:r w:rsidR="004201A9">
        <w:rPr>
          <w:rFonts w:ascii="Times New Roman" w:hAnsi="Times New Roman" w:cs="Times New Roman"/>
          <w:sz w:val="24"/>
          <w:szCs w:val="24"/>
        </w:rPr>
        <w:t>jošais princips)</w:t>
      </w:r>
      <w:r w:rsidR="008C33AE" w:rsidRPr="007B50A0">
        <w:rPr>
          <w:rFonts w:ascii="Times New Roman" w:hAnsi="Times New Roman" w:cs="Times New Roman"/>
          <w:sz w:val="24"/>
          <w:szCs w:val="24"/>
        </w:rPr>
        <w:t>, piemēram, laika dalījums un ilgums, vide, skolēna snieguma demonstrēšanas veids, piekļuve vērtēšanas darbam.</w:t>
      </w:r>
    </w:p>
    <w:p w14:paraId="6A14BC96" w14:textId="75968AAB" w:rsidR="00DD085B" w:rsidRPr="000D3457" w:rsidRDefault="00DD085B" w:rsidP="004201A9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536609D0" w14:textId="10DDF62F" w:rsidR="004F3A7F" w:rsidRPr="000D3457" w:rsidRDefault="00964B21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Mācību snieguma vērtējumu atspoguļošana un </w:t>
      </w:r>
      <w:r w:rsidR="004C046B" w:rsidRPr="000D3457">
        <w:rPr>
          <w:rFonts w:ascii="Times New Roman" w:hAnsi="Times New Roman" w:cs="Times New Roman"/>
          <w:b/>
          <w:bCs/>
          <w:sz w:val="24"/>
          <w:szCs w:val="24"/>
        </w:rPr>
        <w:t>vērtēšanas organizēšana</w:t>
      </w:r>
    </w:p>
    <w:p w14:paraId="65468616" w14:textId="6A025B21" w:rsidR="00F42E35" w:rsidRDefault="006E6FD2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Vērtējums atspoguļo skolēna </w:t>
      </w:r>
      <w:r w:rsidR="00EE6F3E" w:rsidRPr="000D3457">
        <w:rPr>
          <w:rFonts w:ascii="Times New Roman" w:hAnsi="Times New Roman" w:cs="Times New Roman"/>
          <w:sz w:val="24"/>
          <w:szCs w:val="24"/>
        </w:rPr>
        <w:t xml:space="preserve">sniegumu vērtēšanas brīdī attiecībā pret konkrētajiem </w:t>
      </w:r>
      <w:r w:rsidR="00343559" w:rsidRPr="000D3457">
        <w:rPr>
          <w:rFonts w:ascii="Times New Roman" w:hAnsi="Times New Roman" w:cs="Times New Roman"/>
          <w:sz w:val="24"/>
          <w:szCs w:val="24"/>
        </w:rPr>
        <w:t>sasniedzamajiem rezultātiem</w:t>
      </w:r>
      <w:r w:rsidR="00B90146" w:rsidRPr="000D3457">
        <w:rPr>
          <w:rFonts w:ascii="Times New Roman" w:hAnsi="Times New Roman" w:cs="Times New Roman"/>
          <w:sz w:val="24"/>
          <w:szCs w:val="24"/>
        </w:rPr>
        <w:t xml:space="preserve"> (zināšanas</w:t>
      </w:r>
      <w:r w:rsidR="00633A87" w:rsidRPr="000D3457">
        <w:rPr>
          <w:rFonts w:ascii="Times New Roman" w:hAnsi="Times New Roman" w:cs="Times New Roman"/>
          <w:sz w:val="24"/>
          <w:szCs w:val="24"/>
        </w:rPr>
        <w:t xml:space="preserve">, izpratne, prasmes mācību jomā, caurviju prasmes), </w:t>
      </w:r>
      <w:r w:rsidR="00422258" w:rsidRPr="000D3457">
        <w:rPr>
          <w:rFonts w:ascii="Times New Roman" w:hAnsi="Times New Roman" w:cs="Times New Roman"/>
          <w:sz w:val="24"/>
          <w:szCs w:val="24"/>
        </w:rPr>
        <w:t>ikviena skolēna sniegumam piemērojot līdzvērtīgus nosacījumus un vienādus kritē</w:t>
      </w:r>
      <w:r w:rsidR="00CA1B80" w:rsidRPr="000D3457">
        <w:rPr>
          <w:rFonts w:ascii="Times New Roman" w:hAnsi="Times New Roman" w:cs="Times New Roman"/>
          <w:sz w:val="24"/>
          <w:szCs w:val="24"/>
        </w:rPr>
        <w:t>rijus.</w:t>
      </w:r>
    </w:p>
    <w:p w14:paraId="35E245C3" w14:textId="7FAC376A" w:rsidR="0024048A" w:rsidRPr="000D3457" w:rsidRDefault="00F4522B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Diagnosticējošo vērtējumu 1. – 9. klasē izsaka procentos (</w:t>
      </w:r>
      <w:r w:rsidR="008E4C69">
        <w:rPr>
          <w:rFonts w:ascii="Times New Roman" w:hAnsi="Times New Roman" w:cs="Times New Roman"/>
          <w:sz w:val="24"/>
          <w:szCs w:val="24"/>
        </w:rPr>
        <w:t>%) un tas neietekmē mācību gada noslēguma vērtējumu</w:t>
      </w:r>
      <w:r w:rsidR="00D04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872" w:rsidRPr="000D3457">
        <w:rPr>
          <w:rFonts w:ascii="Times New Roman" w:hAnsi="Times New Roman" w:cs="Times New Roman"/>
          <w:sz w:val="24"/>
          <w:szCs w:val="24"/>
        </w:rPr>
        <w:t xml:space="preserve">Atspoguļojot </w:t>
      </w:r>
      <w:r w:rsidR="00F65872">
        <w:rPr>
          <w:rFonts w:ascii="Times New Roman" w:hAnsi="Times New Roman" w:cs="Times New Roman"/>
          <w:sz w:val="24"/>
          <w:szCs w:val="24"/>
        </w:rPr>
        <w:t>diagnosticējošos</w:t>
      </w:r>
      <w:r w:rsidR="00F65872" w:rsidRPr="000D3457">
        <w:rPr>
          <w:rFonts w:ascii="Times New Roman" w:hAnsi="Times New Roman" w:cs="Times New Roman"/>
          <w:sz w:val="24"/>
          <w:szCs w:val="24"/>
        </w:rPr>
        <w:t xml:space="preserve"> vērtējumus E-klasē, lieto rīku ,,Pārbaudes darba metodika”.  </w:t>
      </w:r>
    </w:p>
    <w:p w14:paraId="3F6A4091" w14:textId="77777777" w:rsidR="00861434" w:rsidRDefault="008B45AD" w:rsidP="00861434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Formatīvie vērtējumi par būtiskiem skolēnu sasniedzamajiem rezultātiem katra temata </w:t>
      </w:r>
      <w:r w:rsidR="005329DE" w:rsidRPr="000D3457">
        <w:rPr>
          <w:rFonts w:ascii="Times New Roman" w:hAnsi="Times New Roman" w:cs="Times New Roman"/>
          <w:sz w:val="24"/>
          <w:szCs w:val="24"/>
        </w:rPr>
        <w:t xml:space="preserve">ietvaros tiek fiksēti E-klasē. </w:t>
      </w:r>
      <w:r w:rsidR="00863BB2" w:rsidRPr="000D3457">
        <w:rPr>
          <w:rFonts w:ascii="Times New Roman" w:hAnsi="Times New Roman" w:cs="Times New Roman"/>
          <w:sz w:val="24"/>
          <w:szCs w:val="24"/>
        </w:rPr>
        <w:t>Tos pedagogi izmanto</w:t>
      </w:r>
      <w:r w:rsidR="00AE6422" w:rsidRPr="000D3457">
        <w:rPr>
          <w:rFonts w:ascii="Times New Roman" w:hAnsi="Times New Roman" w:cs="Times New Roman"/>
          <w:sz w:val="24"/>
          <w:szCs w:val="24"/>
        </w:rPr>
        <w:t xml:space="preserve">, plānojot mācīšanu, savukārt skolēni, </w:t>
      </w:r>
      <w:r w:rsidR="006672BB" w:rsidRPr="000D3457">
        <w:rPr>
          <w:rFonts w:ascii="Times New Roman" w:hAnsi="Times New Roman" w:cs="Times New Roman"/>
          <w:sz w:val="24"/>
          <w:szCs w:val="24"/>
        </w:rPr>
        <w:t xml:space="preserve">plānojot savu mācīšanos. Formatīvie </w:t>
      </w:r>
      <w:r w:rsidR="002004EA" w:rsidRPr="000D3457">
        <w:rPr>
          <w:rFonts w:ascii="Times New Roman" w:hAnsi="Times New Roman" w:cs="Times New Roman"/>
          <w:sz w:val="24"/>
          <w:szCs w:val="24"/>
        </w:rPr>
        <w:t>vērtējumi neietekmē vērtējumu mācību gada beigās.</w:t>
      </w:r>
      <w:r w:rsidR="00861434" w:rsidRPr="00861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A5827" w14:textId="356347D8" w:rsidR="00E142D3" w:rsidRPr="00EA5485" w:rsidRDefault="00861434" w:rsidP="00EA5485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1B5AB9">
        <w:rPr>
          <w:rFonts w:ascii="Times New Roman" w:hAnsi="Times New Roman" w:cs="Times New Roman"/>
          <w:sz w:val="24"/>
          <w:szCs w:val="24"/>
        </w:rPr>
        <w:t xml:space="preserve">Skolēnu saņemtos formatīvos vērtējumus 1. – 9. klasē </w:t>
      </w:r>
      <w:r w:rsidRPr="001B5AB9">
        <w:rPr>
          <w:rFonts w:ascii="Times New Roman" w:hAnsi="Times New Roman" w:cs="Times New Roman"/>
          <w:bCs/>
          <w:sz w:val="24"/>
          <w:szCs w:val="24"/>
        </w:rPr>
        <w:t xml:space="preserve">atspoguļo procentos </w:t>
      </w:r>
      <w:r w:rsidRPr="000D3457">
        <w:rPr>
          <w:rFonts w:ascii="Times New Roman" w:hAnsi="Times New Roman" w:cs="Times New Roman"/>
          <w:bCs/>
          <w:sz w:val="24"/>
          <w:szCs w:val="24"/>
        </w:rPr>
        <w:t>(%).</w:t>
      </w:r>
      <w:r w:rsidRPr="000D3457">
        <w:rPr>
          <w:rFonts w:ascii="Times New Roman" w:hAnsi="Times New Roman" w:cs="Times New Roman"/>
          <w:sz w:val="24"/>
          <w:szCs w:val="24"/>
        </w:rPr>
        <w:t xml:space="preserve"> Atspoguļojot formatīvos vērtējumus E-klasē, lieto rīku ,,Pārbaudes darba metodika”.  </w:t>
      </w:r>
    </w:p>
    <w:p w14:paraId="45674975" w14:textId="5ADB77F3" w:rsidR="00552FF1" w:rsidRPr="000D3457" w:rsidRDefault="00552FF1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Pedagoga noteiktie </w:t>
      </w:r>
      <w:r w:rsidR="00D5371E" w:rsidRPr="000D3457">
        <w:rPr>
          <w:rFonts w:ascii="Times New Roman" w:hAnsi="Times New Roman" w:cs="Times New Roman"/>
          <w:sz w:val="24"/>
          <w:szCs w:val="24"/>
        </w:rPr>
        <w:t>summatīvie</w:t>
      </w:r>
      <w:r w:rsidR="00957BB0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C66CEF" w:rsidRPr="000D3457">
        <w:rPr>
          <w:rFonts w:ascii="Times New Roman" w:hAnsi="Times New Roman" w:cs="Times New Roman"/>
          <w:sz w:val="24"/>
          <w:szCs w:val="24"/>
        </w:rPr>
        <w:t>pārbaudes darbi</w:t>
      </w:r>
      <w:r w:rsidRPr="000D3457">
        <w:rPr>
          <w:rFonts w:ascii="Times New Roman" w:hAnsi="Times New Roman" w:cs="Times New Roman"/>
          <w:sz w:val="24"/>
          <w:szCs w:val="24"/>
        </w:rPr>
        <w:t xml:space="preserve"> ir </w:t>
      </w:r>
      <w:r w:rsidR="00437C50" w:rsidRPr="000D3457">
        <w:rPr>
          <w:rFonts w:ascii="Times New Roman" w:hAnsi="Times New Roman" w:cs="Times New Roman"/>
          <w:sz w:val="24"/>
          <w:szCs w:val="24"/>
        </w:rPr>
        <w:t xml:space="preserve">obligāti. Ja skolēns nepiedalās </w:t>
      </w:r>
      <w:r w:rsidR="002F55D1" w:rsidRPr="000D3457">
        <w:rPr>
          <w:rFonts w:ascii="Times New Roman" w:hAnsi="Times New Roman" w:cs="Times New Roman"/>
          <w:sz w:val="24"/>
          <w:szCs w:val="24"/>
        </w:rPr>
        <w:t>summatīvajā pārbaudes</w:t>
      </w:r>
      <w:r w:rsidR="00437C50" w:rsidRPr="000D3457">
        <w:rPr>
          <w:rFonts w:ascii="Times New Roman" w:hAnsi="Times New Roman" w:cs="Times New Roman"/>
          <w:sz w:val="24"/>
          <w:szCs w:val="24"/>
        </w:rPr>
        <w:t xml:space="preserve"> darbā, </w:t>
      </w:r>
      <w:r w:rsidR="00902C92" w:rsidRPr="000D3457">
        <w:rPr>
          <w:rFonts w:ascii="Times New Roman" w:hAnsi="Times New Roman" w:cs="Times New Roman"/>
          <w:sz w:val="24"/>
          <w:szCs w:val="24"/>
        </w:rPr>
        <w:t>pedagogs E-klasē</w:t>
      </w:r>
      <w:r w:rsidR="00F72A5C" w:rsidRPr="000D3457">
        <w:rPr>
          <w:rFonts w:ascii="Times New Roman" w:hAnsi="Times New Roman" w:cs="Times New Roman"/>
          <w:sz w:val="24"/>
          <w:szCs w:val="24"/>
        </w:rPr>
        <w:t xml:space="preserve"> fiksē gan skolēna mācību priekšmeta stundas kavējumu</w:t>
      </w:r>
      <w:r w:rsidR="00B930E9" w:rsidRPr="000D3457">
        <w:rPr>
          <w:rFonts w:ascii="Times New Roman" w:hAnsi="Times New Roman" w:cs="Times New Roman"/>
          <w:sz w:val="24"/>
          <w:szCs w:val="24"/>
        </w:rPr>
        <w:t xml:space="preserve"> (</w:t>
      </w:r>
      <w:r w:rsidR="001819D5" w:rsidRPr="000D3457">
        <w:rPr>
          <w:rFonts w:ascii="Times New Roman" w:hAnsi="Times New Roman" w:cs="Times New Roman"/>
          <w:sz w:val="24"/>
          <w:szCs w:val="24"/>
        </w:rPr>
        <w:t>,,</w:t>
      </w:r>
      <w:r w:rsidR="00B930E9" w:rsidRPr="000D3457">
        <w:rPr>
          <w:rFonts w:ascii="Times New Roman" w:hAnsi="Times New Roman" w:cs="Times New Roman"/>
          <w:sz w:val="24"/>
          <w:szCs w:val="24"/>
        </w:rPr>
        <w:t>n”)</w:t>
      </w:r>
      <w:r w:rsidR="001819D5" w:rsidRPr="000D3457">
        <w:rPr>
          <w:rFonts w:ascii="Times New Roman" w:hAnsi="Times New Roman" w:cs="Times New Roman"/>
          <w:sz w:val="24"/>
          <w:szCs w:val="24"/>
        </w:rPr>
        <w:t xml:space="preserve">, gan obligāti veicamā </w:t>
      </w:r>
      <w:r w:rsidR="002F55D1" w:rsidRPr="000D3457">
        <w:rPr>
          <w:rFonts w:ascii="Times New Roman" w:hAnsi="Times New Roman" w:cs="Times New Roman"/>
          <w:sz w:val="24"/>
          <w:szCs w:val="24"/>
        </w:rPr>
        <w:t>summatī</w:t>
      </w:r>
      <w:r w:rsidR="005E4116" w:rsidRPr="000D3457">
        <w:rPr>
          <w:rFonts w:ascii="Times New Roman" w:hAnsi="Times New Roman" w:cs="Times New Roman"/>
          <w:sz w:val="24"/>
          <w:szCs w:val="24"/>
        </w:rPr>
        <w:t>vā pārbaudes</w:t>
      </w:r>
      <w:r w:rsidR="001819D5" w:rsidRPr="000D3457">
        <w:rPr>
          <w:rFonts w:ascii="Times New Roman" w:hAnsi="Times New Roman" w:cs="Times New Roman"/>
          <w:sz w:val="24"/>
          <w:szCs w:val="24"/>
        </w:rPr>
        <w:t xml:space="preserve"> darba izpildi</w:t>
      </w:r>
      <w:r w:rsidR="00DB55B1" w:rsidRPr="000D3457">
        <w:rPr>
          <w:rFonts w:ascii="Times New Roman" w:hAnsi="Times New Roman" w:cs="Times New Roman"/>
          <w:sz w:val="24"/>
          <w:szCs w:val="24"/>
        </w:rPr>
        <w:t xml:space="preserve"> (,,nv”).</w:t>
      </w:r>
    </w:p>
    <w:p w14:paraId="6E80F30F" w14:textId="4E7DFB81" w:rsidR="00F211BB" w:rsidRPr="000D3457" w:rsidRDefault="00F211BB" w:rsidP="000D345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Summatīvajā v</w:t>
      </w:r>
      <w:r w:rsidR="0071796E" w:rsidRPr="000D3457">
        <w:rPr>
          <w:rFonts w:ascii="Times New Roman" w:hAnsi="Times New Roman" w:cs="Times New Roman"/>
          <w:sz w:val="24"/>
          <w:szCs w:val="24"/>
        </w:rPr>
        <w:t>ērtēšanā 1. – 3. klasē vērtējumu izsaka apguves līmeņos</w:t>
      </w:r>
      <w:r w:rsidR="006B7675" w:rsidRPr="000D3457">
        <w:rPr>
          <w:rFonts w:ascii="Times New Roman" w:hAnsi="Times New Roman" w:cs="Times New Roman"/>
          <w:sz w:val="24"/>
          <w:szCs w:val="24"/>
        </w:rPr>
        <w:t xml:space="preserve">: sācis apgūt (E-klasē apzīmē ar burtu </w:t>
      </w:r>
      <w:r w:rsidR="00AE63FB" w:rsidRPr="000D3457">
        <w:rPr>
          <w:rFonts w:ascii="Times New Roman" w:hAnsi="Times New Roman" w:cs="Times New Roman"/>
          <w:sz w:val="24"/>
          <w:szCs w:val="24"/>
        </w:rPr>
        <w:t>,,S”), turpina apgūt (E-klasē apzīmē ar burtu ,,T”</w:t>
      </w:r>
      <w:r w:rsidR="00577DA1" w:rsidRPr="000D3457">
        <w:rPr>
          <w:rFonts w:ascii="Times New Roman" w:hAnsi="Times New Roman" w:cs="Times New Roman"/>
          <w:sz w:val="24"/>
          <w:szCs w:val="24"/>
        </w:rPr>
        <w:t xml:space="preserve">), apguvis (E-klasē </w:t>
      </w:r>
      <w:r w:rsidR="008327FD" w:rsidRPr="000D3457">
        <w:rPr>
          <w:rFonts w:ascii="Times New Roman" w:hAnsi="Times New Roman" w:cs="Times New Roman"/>
          <w:sz w:val="24"/>
          <w:szCs w:val="24"/>
        </w:rPr>
        <w:t xml:space="preserve">apzīmē ar burtu ,,A”), apguvis padziļināti (E-klasē apzīmē ar burtu </w:t>
      </w:r>
      <w:r w:rsidR="00CB0A5C" w:rsidRPr="000D3457">
        <w:rPr>
          <w:rFonts w:ascii="Times New Roman" w:hAnsi="Times New Roman" w:cs="Times New Roman"/>
          <w:sz w:val="24"/>
          <w:szCs w:val="24"/>
        </w:rPr>
        <w:t>,,P”), izmantojot vienotas vērtēšanas kritēriju grupas.</w:t>
      </w:r>
    </w:p>
    <w:tbl>
      <w:tblPr>
        <w:tblStyle w:val="Reatabula"/>
        <w:tblW w:w="5103" w:type="dxa"/>
        <w:tblInd w:w="1555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56425E" w:rsidRPr="000D3457" w14:paraId="6DD9AFC4" w14:textId="77777777" w:rsidTr="00C63963">
        <w:trPr>
          <w:trHeight w:val="416"/>
        </w:trPr>
        <w:tc>
          <w:tcPr>
            <w:tcW w:w="2551" w:type="dxa"/>
          </w:tcPr>
          <w:p w14:paraId="32214E83" w14:textId="06A12E3A" w:rsidR="0056425E" w:rsidRPr="000D3457" w:rsidRDefault="0056425E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S (sācis apgūt)</w:t>
            </w:r>
          </w:p>
        </w:tc>
        <w:tc>
          <w:tcPr>
            <w:tcW w:w="2552" w:type="dxa"/>
          </w:tcPr>
          <w:p w14:paraId="42CDD7B9" w14:textId="2E11B106" w:rsidR="0056425E" w:rsidRPr="000D3457" w:rsidRDefault="00DE03BC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0 – 40 %</w:t>
            </w:r>
          </w:p>
        </w:tc>
      </w:tr>
      <w:tr w:rsidR="0056425E" w:rsidRPr="000D3457" w14:paraId="5B29165E" w14:textId="77777777" w:rsidTr="00C63963">
        <w:trPr>
          <w:trHeight w:val="416"/>
        </w:trPr>
        <w:tc>
          <w:tcPr>
            <w:tcW w:w="2551" w:type="dxa"/>
          </w:tcPr>
          <w:p w14:paraId="5338F10E" w14:textId="503868CA" w:rsidR="0056425E" w:rsidRPr="000D3457" w:rsidRDefault="00F51829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T (turpina apgūt)</w:t>
            </w:r>
          </w:p>
        </w:tc>
        <w:tc>
          <w:tcPr>
            <w:tcW w:w="2552" w:type="dxa"/>
          </w:tcPr>
          <w:p w14:paraId="4A8493DB" w14:textId="6953B56A" w:rsidR="0056425E" w:rsidRPr="000D3457" w:rsidRDefault="00DE03BC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41 – 66 %</w:t>
            </w:r>
          </w:p>
        </w:tc>
      </w:tr>
      <w:tr w:rsidR="0056425E" w:rsidRPr="000D3457" w14:paraId="5538E257" w14:textId="77777777" w:rsidTr="00C63963">
        <w:trPr>
          <w:trHeight w:val="435"/>
        </w:trPr>
        <w:tc>
          <w:tcPr>
            <w:tcW w:w="2551" w:type="dxa"/>
          </w:tcPr>
          <w:p w14:paraId="524BFDDF" w14:textId="5086A3AD" w:rsidR="0056425E" w:rsidRPr="000D3457" w:rsidRDefault="00F51829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(apguvis)</w:t>
            </w:r>
          </w:p>
        </w:tc>
        <w:tc>
          <w:tcPr>
            <w:tcW w:w="2552" w:type="dxa"/>
          </w:tcPr>
          <w:p w14:paraId="4857392A" w14:textId="2EAEC019" w:rsidR="0056425E" w:rsidRPr="000D3457" w:rsidRDefault="00DE03BC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67 – 86 %</w:t>
            </w:r>
          </w:p>
        </w:tc>
      </w:tr>
      <w:tr w:rsidR="0056425E" w:rsidRPr="000D3457" w14:paraId="44127C65" w14:textId="77777777" w:rsidTr="00C63963">
        <w:trPr>
          <w:trHeight w:val="416"/>
        </w:trPr>
        <w:tc>
          <w:tcPr>
            <w:tcW w:w="2551" w:type="dxa"/>
          </w:tcPr>
          <w:p w14:paraId="024FF488" w14:textId="1E269DAC" w:rsidR="0056425E" w:rsidRPr="000D3457" w:rsidRDefault="00A30861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P (apguvis padziļināti)</w:t>
            </w:r>
          </w:p>
        </w:tc>
        <w:tc>
          <w:tcPr>
            <w:tcW w:w="2552" w:type="dxa"/>
          </w:tcPr>
          <w:p w14:paraId="5064BF7A" w14:textId="518AD974" w:rsidR="0056425E" w:rsidRPr="000D3457" w:rsidRDefault="00161D1D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87 – 100 %</w:t>
            </w:r>
          </w:p>
        </w:tc>
      </w:tr>
    </w:tbl>
    <w:p w14:paraId="24F1EA8C" w14:textId="0E2611D3" w:rsidR="00B21AEE" w:rsidRPr="00B21AEE" w:rsidRDefault="00B21AEE" w:rsidP="00B21AE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2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Skolēna mācību sniegumu 1.–3. klasē vērtē atbilstoši tabulā noteiktajiem snieguma līmeņu aprakstiem</w:t>
      </w:r>
      <w:r w:rsidRPr="004F679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tbl>
      <w:tblPr>
        <w:tblW w:w="93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1649"/>
        <w:gridCol w:w="1681"/>
        <w:gridCol w:w="1911"/>
        <w:gridCol w:w="1797"/>
        <w:gridCol w:w="1992"/>
      </w:tblGrid>
      <w:tr w:rsidR="004F679F" w:rsidRPr="00B21AEE" w14:paraId="5EFB696F" w14:textId="77777777" w:rsidTr="00B21AEE"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BFC83C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719BA9" w14:textId="77777777" w:rsidR="00B21AEE" w:rsidRPr="00B21AEE" w:rsidRDefault="00B21AEE" w:rsidP="00B21AE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Kritērijs</w:t>
            </w:r>
          </w:p>
        </w:tc>
        <w:tc>
          <w:tcPr>
            <w:tcW w:w="22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6D7198" w14:textId="77777777" w:rsidR="00B21AEE" w:rsidRPr="00B21AEE" w:rsidRDefault="00B21AEE" w:rsidP="00B21AE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Sācis apgūt (S)</w:t>
            </w:r>
          </w:p>
        </w:tc>
        <w:tc>
          <w:tcPr>
            <w:tcW w:w="30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ABADD5" w14:textId="77777777" w:rsidR="00B21AEE" w:rsidRPr="00B21AEE" w:rsidRDefault="00B21AEE" w:rsidP="00B21AE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Turpina apgūt (T)</w:t>
            </w:r>
          </w:p>
        </w:tc>
        <w:tc>
          <w:tcPr>
            <w:tcW w:w="28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38A782" w14:textId="77777777" w:rsidR="00B21AEE" w:rsidRPr="00B21AEE" w:rsidRDefault="00B21AEE" w:rsidP="00B21AE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Apguvis (A)</w:t>
            </w:r>
          </w:p>
        </w:tc>
        <w:tc>
          <w:tcPr>
            <w:tcW w:w="30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7F0BFC" w14:textId="77777777" w:rsidR="00B21AEE" w:rsidRPr="00B21AEE" w:rsidRDefault="00B21AEE" w:rsidP="00B21AE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Apguvis padziļināti (P)</w:t>
            </w:r>
          </w:p>
        </w:tc>
      </w:tr>
      <w:tr w:rsidR="004F679F" w:rsidRPr="00B21AEE" w14:paraId="47557718" w14:textId="77777777" w:rsidTr="00B21AEE"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08AB94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172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AB3EF4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Demonstrēto zināšanu, izpratnes, pamatprasmju mācību jomā, caurviju prasmju apjoms un kvalitāte</w:t>
            </w:r>
          </w:p>
        </w:tc>
        <w:tc>
          <w:tcPr>
            <w:tcW w:w="22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9B0FF4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skolēna sniegums (demonstrētās zināšanas, izpratne, pamatprasmes mācību jomā un caurviju prasmes) liecina, ka ir uzsākta plānotā sasniedzamā rezultāta apguve</w:t>
            </w:r>
          </w:p>
        </w:tc>
        <w:tc>
          <w:tcPr>
            <w:tcW w:w="30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0BFBA0B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skolēna sniegums (demonstrētās zināšanas, izpratne, pamatprasmes mācību jomā un caurviju prasmes) liecina, ka plānotais sasniedzamais rezultāts sasniegts daļēji un tas nav noturīgs</w:t>
            </w:r>
          </w:p>
        </w:tc>
        <w:tc>
          <w:tcPr>
            <w:tcW w:w="28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50E687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skolēna sniegums (demonstrētās zināšanas, izpratne, pamatprasmes mācību jomā un caurviju prasmes) liecina, ka plānotais sasniedzamais rezultāts sasniegts pilnībā un tas ir noturīgs</w:t>
            </w:r>
          </w:p>
        </w:tc>
        <w:tc>
          <w:tcPr>
            <w:tcW w:w="30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A89B2B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skolēna sniegums (demonstrētās zināšanas, izpratne, pamatprasmes mācību jomā un caurviju prasmes) liecina, ka plānotais sasniedzamais rezultāts sasniegts padziļināti un tas ir noturīgs</w:t>
            </w:r>
          </w:p>
        </w:tc>
      </w:tr>
      <w:tr w:rsidR="004F679F" w:rsidRPr="00B21AEE" w14:paraId="5AB96F61" w14:textId="77777777" w:rsidTr="00B21AEE"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C6AF95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172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4AB521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Atbalsta nepieciešamība</w:t>
            </w:r>
          </w:p>
        </w:tc>
        <w:tc>
          <w:tcPr>
            <w:tcW w:w="22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139033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skolēnam nepieciešams atbalsts un regulāri pedagoga apstiprinājumi uzdevuma izpildei</w:t>
            </w:r>
          </w:p>
        </w:tc>
        <w:tc>
          <w:tcPr>
            <w:tcW w:w="30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8FCCDE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skolēnam dažkārt nepieciešams pamudinājums, lai sekotu uzdevuma izpildei</w:t>
            </w:r>
          </w:p>
        </w:tc>
        <w:tc>
          <w:tcPr>
            <w:tcW w:w="28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B34068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skolēns uzdevumu izpilda patstāvīgi</w:t>
            </w:r>
          </w:p>
        </w:tc>
        <w:tc>
          <w:tcPr>
            <w:tcW w:w="30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BAB4DE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skolēns uzdevumu izpilda patstāvīgi, spēj pamatot atbilstošās stratēģijas izvēli</w:t>
            </w:r>
          </w:p>
        </w:tc>
      </w:tr>
      <w:tr w:rsidR="004F679F" w:rsidRPr="00B21AEE" w14:paraId="0C9B90F0" w14:textId="77777777" w:rsidTr="00B21AEE">
        <w:tc>
          <w:tcPr>
            <w:tcW w:w="12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F2C810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72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F1CFE5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Spēja lietot apgūto tipveida vai nepazīstamā situācijā</w:t>
            </w:r>
          </w:p>
        </w:tc>
        <w:tc>
          <w:tcPr>
            <w:tcW w:w="22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C18C56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skolēns demonstrē sniegumu ar pedagoga atbalstu zināmā tipveida situācijā</w:t>
            </w:r>
          </w:p>
        </w:tc>
        <w:tc>
          <w:tcPr>
            <w:tcW w:w="30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319ABC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skolēns demonstrē sniegumu pārsvarā patstāvīgi tipveida situācijā, atsevišķā gadījumā – arī mazāk zināmā situācijā, ja nepieciešams, izmanto atbalsta materiālus</w:t>
            </w:r>
          </w:p>
        </w:tc>
        <w:tc>
          <w:tcPr>
            <w:tcW w:w="28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09C974" w14:textId="77777777" w:rsidR="00B21AEE" w:rsidRPr="00B21AEE" w:rsidRDefault="00B21AEE" w:rsidP="00B21AEE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skolēns demonstrē sniegumu gan zināmā tipveida situācijā, gan nepazīstamā situācijā</w:t>
            </w:r>
          </w:p>
        </w:tc>
        <w:tc>
          <w:tcPr>
            <w:tcW w:w="30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8258F4" w14:textId="77777777" w:rsidR="00B21AEE" w:rsidRPr="00B21AEE" w:rsidRDefault="00B21AEE" w:rsidP="00B21AE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21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skolēns demonstrē sniegumu zināmā tipveida situācijā, nepazīstamā situācijā un starpdisciplinārā situācijā</w:t>
            </w:r>
          </w:p>
        </w:tc>
      </w:tr>
    </w:tbl>
    <w:p w14:paraId="296D1649" w14:textId="77777777" w:rsidR="00B21AEE" w:rsidRDefault="00B21AEE" w:rsidP="000D34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01DC9E" w14:textId="5E10111B" w:rsidR="004B482F" w:rsidRPr="000D3457" w:rsidRDefault="007D17FD" w:rsidP="000D34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lastRenderedPageBreak/>
        <w:t xml:space="preserve">(atbilstoši 2018.gada 27.novembra Ministru kabineta </w:t>
      </w:r>
      <w:r w:rsidR="00B40609" w:rsidRPr="000D3457">
        <w:rPr>
          <w:rFonts w:ascii="Times New Roman" w:hAnsi="Times New Roman" w:cs="Times New Roman"/>
          <w:sz w:val="24"/>
          <w:szCs w:val="24"/>
        </w:rPr>
        <w:t>noteikumiem Nr.747 9.pielikumam)</w:t>
      </w:r>
      <w:r w:rsidR="006A3C08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15892DF6" w14:textId="46B6E88A" w:rsidR="002B3697" w:rsidRPr="000D3457" w:rsidRDefault="00B55ED5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Summatīvajā vērtēšanā </w:t>
      </w:r>
      <w:r w:rsidR="00FA079F" w:rsidRPr="000D3457">
        <w:rPr>
          <w:rFonts w:ascii="Times New Roman" w:hAnsi="Times New Roman" w:cs="Times New Roman"/>
          <w:sz w:val="24"/>
          <w:szCs w:val="24"/>
        </w:rPr>
        <w:t xml:space="preserve">4. – 9.klasēs vērtējumu </w:t>
      </w:r>
      <w:r w:rsidR="00B06031" w:rsidRPr="000D3457">
        <w:rPr>
          <w:rFonts w:ascii="Times New Roman" w:hAnsi="Times New Roman" w:cs="Times New Roman"/>
          <w:sz w:val="24"/>
          <w:szCs w:val="24"/>
        </w:rPr>
        <w:t>izsaka ballēs (10</w:t>
      </w:r>
      <w:r w:rsidR="006E2294" w:rsidRPr="000D3457">
        <w:rPr>
          <w:rFonts w:ascii="Times New Roman" w:hAnsi="Times New Roman" w:cs="Times New Roman"/>
          <w:sz w:val="24"/>
          <w:szCs w:val="24"/>
        </w:rPr>
        <w:t xml:space="preserve"> - ,,izcili”</w:t>
      </w:r>
      <w:r w:rsidR="00B235F4" w:rsidRPr="000D3457">
        <w:rPr>
          <w:rFonts w:ascii="Times New Roman" w:hAnsi="Times New Roman" w:cs="Times New Roman"/>
          <w:sz w:val="24"/>
          <w:szCs w:val="24"/>
        </w:rPr>
        <w:t xml:space="preserve">, </w:t>
      </w:r>
      <w:r w:rsidR="0092080E" w:rsidRPr="000D3457">
        <w:rPr>
          <w:rFonts w:ascii="Times New Roman" w:hAnsi="Times New Roman" w:cs="Times New Roman"/>
          <w:sz w:val="24"/>
          <w:szCs w:val="24"/>
        </w:rPr>
        <w:t xml:space="preserve">9 - ,,teicami”, </w:t>
      </w:r>
      <w:r w:rsidR="00DB7AAD" w:rsidRPr="000D3457">
        <w:rPr>
          <w:rFonts w:ascii="Times New Roman" w:hAnsi="Times New Roman" w:cs="Times New Roman"/>
          <w:sz w:val="24"/>
          <w:szCs w:val="24"/>
        </w:rPr>
        <w:t>8 - ,,ļoti labi</w:t>
      </w:r>
      <w:r w:rsidR="00804003" w:rsidRPr="000D3457">
        <w:rPr>
          <w:rFonts w:ascii="Times New Roman" w:hAnsi="Times New Roman" w:cs="Times New Roman"/>
          <w:sz w:val="24"/>
          <w:szCs w:val="24"/>
        </w:rPr>
        <w:t xml:space="preserve">”, 7 - ,,labi”, 6 - ,,gandrīz labi”, </w:t>
      </w:r>
      <w:r w:rsidR="00D852DA" w:rsidRPr="000D3457">
        <w:rPr>
          <w:rFonts w:ascii="Times New Roman" w:hAnsi="Times New Roman" w:cs="Times New Roman"/>
          <w:sz w:val="24"/>
          <w:szCs w:val="24"/>
        </w:rPr>
        <w:t xml:space="preserve">5 - ,,viduvēji”, 4 – gandrīz viduvēji”, </w:t>
      </w:r>
      <w:r w:rsidR="00F0478D" w:rsidRPr="000D3457">
        <w:rPr>
          <w:rFonts w:ascii="Times New Roman" w:hAnsi="Times New Roman" w:cs="Times New Roman"/>
          <w:sz w:val="24"/>
          <w:szCs w:val="24"/>
        </w:rPr>
        <w:t>3 - ,,vāji”, 2 - ,,ļoti vāji</w:t>
      </w:r>
      <w:r w:rsidR="00CC1CF5" w:rsidRPr="000D3457">
        <w:rPr>
          <w:rFonts w:ascii="Times New Roman" w:hAnsi="Times New Roman" w:cs="Times New Roman"/>
          <w:sz w:val="24"/>
          <w:szCs w:val="24"/>
        </w:rPr>
        <w:t>”, 1 - ,,ļoti, ļoti vāji”</w:t>
      </w:r>
      <w:r w:rsidR="003D34D9" w:rsidRPr="000D3457">
        <w:rPr>
          <w:rFonts w:ascii="Times New Roman" w:hAnsi="Times New Roman" w:cs="Times New Roman"/>
          <w:sz w:val="24"/>
          <w:szCs w:val="24"/>
        </w:rPr>
        <w:t>), izmantojot vienotas vērtēšanas kritē</w:t>
      </w:r>
      <w:r w:rsidR="0039563B" w:rsidRPr="000D3457">
        <w:rPr>
          <w:rFonts w:ascii="Times New Roman" w:hAnsi="Times New Roman" w:cs="Times New Roman"/>
          <w:sz w:val="24"/>
          <w:szCs w:val="24"/>
        </w:rPr>
        <w:t xml:space="preserve">riju grupas. </w:t>
      </w:r>
    </w:p>
    <w:tbl>
      <w:tblPr>
        <w:tblStyle w:val="Reatabula"/>
        <w:tblW w:w="0" w:type="auto"/>
        <w:tblInd w:w="1555" w:type="dxa"/>
        <w:tblLook w:val="04A0" w:firstRow="1" w:lastRow="0" w:firstColumn="1" w:lastColumn="0" w:noHBand="0" w:noVBand="1"/>
      </w:tblPr>
      <w:tblGrid>
        <w:gridCol w:w="2593"/>
        <w:gridCol w:w="2510"/>
      </w:tblGrid>
      <w:tr w:rsidR="0039563B" w:rsidRPr="000D3457" w14:paraId="783477D0" w14:textId="77777777" w:rsidTr="00C63963">
        <w:tc>
          <w:tcPr>
            <w:tcW w:w="2593" w:type="dxa"/>
          </w:tcPr>
          <w:p w14:paraId="71BB88AE" w14:textId="59A67B87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Balles</w:t>
            </w:r>
          </w:p>
        </w:tc>
        <w:tc>
          <w:tcPr>
            <w:tcW w:w="2510" w:type="dxa"/>
          </w:tcPr>
          <w:p w14:paraId="42775CEB" w14:textId="16A21358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Procenti</w:t>
            </w:r>
          </w:p>
        </w:tc>
      </w:tr>
      <w:tr w:rsidR="0039563B" w:rsidRPr="000D3457" w14:paraId="7F170ECB" w14:textId="77777777" w:rsidTr="00C63963">
        <w:tc>
          <w:tcPr>
            <w:tcW w:w="2593" w:type="dxa"/>
          </w:tcPr>
          <w:p w14:paraId="0FE55B9B" w14:textId="6D446FBB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14:paraId="6CF7F24B" w14:textId="3E910F58" w:rsidR="0039563B" w:rsidRPr="000D3457" w:rsidRDefault="0092577B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0 – 10 %</w:t>
            </w:r>
          </w:p>
        </w:tc>
      </w:tr>
      <w:tr w:rsidR="0039563B" w:rsidRPr="000D3457" w14:paraId="6FB879C9" w14:textId="77777777" w:rsidTr="00C63963">
        <w:tc>
          <w:tcPr>
            <w:tcW w:w="2593" w:type="dxa"/>
          </w:tcPr>
          <w:p w14:paraId="329F8326" w14:textId="757F4EF1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14:paraId="2C7716F5" w14:textId="6736B05D" w:rsidR="0039563B" w:rsidRPr="000D3457" w:rsidRDefault="00FB196A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11 – 20 %</w:t>
            </w:r>
          </w:p>
        </w:tc>
      </w:tr>
      <w:tr w:rsidR="0039563B" w:rsidRPr="000D3457" w14:paraId="71A79CB6" w14:textId="77777777" w:rsidTr="00C63963">
        <w:tc>
          <w:tcPr>
            <w:tcW w:w="2593" w:type="dxa"/>
          </w:tcPr>
          <w:p w14:paraId="13250A7C" w14:textId="3004770D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14:paraId="0F0FF145" w14:textId="21B1BBEF" w:rsidR="0039563B" w:rsidRPr="000D3457" w:rsidRDefault="00FB196A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21 – 33 %</w:t>
            </w:r>
          </w:p>
        </w:tc>
      </w:tr>
      <w:tr w:rsidR="0039563B" w:rsidRPr="000D3457" w14:paraId="4BFD472D" w14:textId="77777777" w:rsidTr="00C63963">
        <w:tc>
          <w:tcPr>
            <w:tcW w:w="2593" w:type="dxa"/>
          </w:tcPr>
          <w:p w14:paraId="4633D83F" w14:textId="3657FF2C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14:paraId="4DFBB28A" w14:textId="017C8B4C" w:rsidR="0039563B" w:rsidRPr="000D3457" w:rsidRDefault="00FB196A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34 – 40 %</w:t>
            </w:r>
          </w:p>
        </w:tc>
      </w:tr>
      <w:tr w:rsidR="0039563B" w:rsidRPr="000D3457" w14:paraId="22C166D9" w14:textId="77777777" w:rsidTr="00C63963">
        <w:tc>
          <w:tcPr>
            <w:tcW w:w="2593" w:type="dxa"/>
          </w:tcPr>
          <w:p w14:paraId="4EA06A87" w14:textId="68E4FF77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14:paraId="7B23AD6F" w14:textId="13ECD4A9" w:rsidR="0039563B" w:rsidRPr="000D3457" w:rsidRDefault="00FB196A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41 – 56 %</w:t>
            </w:r>
          </w:p>
        </w:tc>
      </w:tr>
      <w:tr w:rsidR="0039563B" w:rsidRPr="000D3457" w14:paraId="30BB0F51" w14:textId="77777777" w:rsidTr="00C63963">
        <w:tc>
          <w:tcPr>
            <w:tcW w:w="2593" w:type="dxa"/>
          </w:tcPr>
          <w:p w14:paraId="70935F7B" w14:textId="3429792F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14:paraId="60C2EAEA" w14:textId="7BAE6645" w:rsidR="0039563B" w:rsidRPr="000D3457" w:rsidRDefault="003B079B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57 – 66 %</w:t>
            </w:r>
          </w:p>
        </w:tc>
      </w:tr>
      <w:tr w:rsidR="0039563B" w:rsidRPr="000D3457" w14:paraId="22D8811D" w14:textId="77777777" w:rsidTr="00C63963">
        <w:tc>
          <w:tcPr>
            <w:tcW w:w="2593" w:type="dxa"/>
          </w:tcPr>
          <w:p w14:paraId="13475704" w14:textId="361ACAB4" w:rsidR="0039563B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14:paraId="32E1FDF5" w14:textId="242B2B8F" w:rsidR="0039563B" w:rsidRPr="000D3457" w:rsidRDefault="003B079B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67 – 77 %</w:t>
            </w:r>
          </w:p>
        </w:tc>
      </w:tr>
      <w:tr w:rsidR="00E61144" w:rsidRPr="000D3457" w14:paraId="6D7D920E" w14:textId="77777777" w:rsidTr="00C63963">
        <w:tc>
          <w:tcPr>
            <w:tcW w:w="2593" w:type="dxa"/>
          </w:tcPr>
          <w:p w14:paraId="3E0E070D" w14:textId="198D79BE" w:rsidR="00E61144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14:paraId="3B314DAC" w14:textId="7C150F21" w:rsidR="00E61144" w:rsidRPr="000D3457" w:rsidRDefault="003B079B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78 – 86 %</w:t>
            </w:r>
          </w:p>
        </w:tc>
      </w:tr>
      <w:tr w:rsidR="00E61144" w:rsidRPr="000D3457" w14:paraId="5532D11F" w14:textId="77777777" w:rsidTr="00C63963">
        <w:tc>
          <w:tcPr>
            <w:tcW w:w="2593" w:type="dxa"/>
          </w:tcPr>
          <w:p w14:paraId="1CEB8E6D" w14:textId="63841B94" w:rsidR="00E61144" w:rsidRPr="000D3457" w:rsidRDefault="00E61144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14:paraId="13C3AF90" w14:textId="67DAE089" w:rsidR="00E61144" w:rsidRPr="000D3457" w:rsidRDefault="00513912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87 – 94 %</w:t>
            </w:r>
          </w:p>
        </w:tc>
      </w:tr>
      <w:tr w:rsidR="00513912" w:rsidRPr="000D3457" w14:paraId="5CEE4D6A" w14:textId="77777777" w:rsidTr="00C63963">
        <w:tc>
          <w:tcPr>
            <w:tcW w:w="2593" w:type="dxa"/>
          </w:tcPr>
          <w:p w14:paraId="56CABC40" w14:textId="132EF472" w:rsidR="00513912" w:rsidRPr="000D3457" w:rsidRDefault="00513912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14:paraId="3AA4BCDD" w14:textId="541F8E64" w:rsidR="00513912" w:rsidRPr="000D3457" w:rsidRDefault="00513912" w:rsidP="001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</w:tc>
      </w:tr>
    </w:tbl>
    <w:p w14:paraId="57787955" w14:textId="764A3106" w:rsidR="00A349E1" w:rsidRPr="000D3457" w:rsidRDefault="00A349E1" w:rsidP="000D34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(atbilstoši 2018.gada 27.novembra Ministru kabineta noteikumiem Nr.747 </w:t>
      </w:r>
      <w:r w:rsidR="00571911" w:rsidRPr="000D3457">
        <w:rPr>
          <w:rFonts w:ascii="Times New Roman" w:hAnsi="Times New Roman" w:cs="Times New Roman"/>
          <w:sz w:val="24"/>
          <w:szCs w:val="24"/>
        </w:rPr>
        <w:t>10</w:t>
      </w:r>
      <w:r w:rsidRPr="000D3457">
        <w:rPr>
          <w:rFonts w:ascii="Times New Roman" w:hAnsi="Times New Roman" w:cs="Times New Roman"/>
          <w:sz w:val="24"/>
          <w:szCs w:val="24"/>
        </w:rPr>
        <w:t>.pielikumam).</w:t>
      </w:r>
    </w:p>
    <w:p w14:paraId="14045371" w14:textId="4A95399D" w:rsidR="008100A4" w:rsidRPr="000D3457" w:rsidRDefault="008100A4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Pedagogs jebkurā </w:t>
      </w:r>
      <w:r w:rsidR="00C22244" w:rsidRPr="000D3457">
        <w:rPr>
          <w:rFonts w:ascii="Times New Roman" w:hAnsi="Times New Roman" w:cs="Times New Roman"/>
          <w:sz w:val="24"/>
          <w:szCs w:val="24"/>
        </w:rPr>
        <w:t>summatīvajā pārbaudes</w:t>
      </w:r>
      <w:r w:rsidRPr="000D3457">
        <w:rPr>
          <w:rFonts w:ascii="Times New Roman" w:hAnsi="Times New Roman" w:cs="Times New Roman"/>
          <w:sz w:val="24"/>
          <w:szCs w:val="24"/>
        </w:rPr>
        <w:t xml:space="preserve"> darbā nodrošina </w:t>
      </w:r>
      <w:r w:rsidR="00EB04AD" w:rsidRPr="000D3457">
        <w:rPr>
          <w:rFonts w:ascii="Times New Roman" w:hAnsi="Times New Roman" w:cs="Times New Roman"/>
          <w:sz w:val="24"/>
          <w:szCs w:val="24"/>
        </w:rPr>
        <w:t>skolēnam iespēju demonstrēt sniegumu visos apguves līmeņos</w:t>
      </w:r>
      <w:r w:rsidR="00BD6790" w:rsidRPr="000D3457">
        <w:rPr>
          <w:rFonts w:ascii="Times New Roman" w:hAnsi="Times New Roman" w:cs="Times New Roman"/>
          <w:sz w:val="24"/>
          <w:szCs w:val="24"/>
        </w:rPr>
        <w:t xml:space="preserve"> 1. – 3.</w:t>
      </w:r>
      <w:r w:rsidR="00AE6904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BD6790" w:rsidRPr="000D3457">
        <w:rPr>
          <w:rFonts w:ascii="Times New Roman" w:hAnsi="Times New Roman" w:cs="Times New Roman"/>
          <w:sz w:val="24"/>
          <w:szCs w:val="24"/>
        </w:rPr>
        <w:t xml:space="preserve">klasē un atbilstoši jebkuram vērtējuma 10 ballu </w:t>
      </w:r>
      <w:r w:rsidR="00E95B3A" w:rsidRPr="000D3457">
        <w:rPr>
          <w:rFonts w:ascii="Times New Roman" w:hAnsi="Times New Roman" w:cs="Times New Roman"/>
          <w:sz w:val="24"/>
          <w:szCs w:val="24"/>
        </w:rPr>
        <w:t xml:space="preserve">skalā 4. – 9. klasē. </w:t>
      </w:r>
    </w:p>
    <w:p w14:paraId="540CA434" w14:textId="46EFA252" w:rsidR="0026157D" w:rsidRPr="000D3457" w:rsidRDefault="00E358D9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Apzīmējumu ,,nv”</w:t>
      </w:r>
      <w:r w:rsidR="00D44847" w:rsidRPr="000D3457">
        <w:rPr>
          <w:rFonts w:ascii="Times New Roman" w:hAnsi="Times New Roman" w:cs="Times New Roman"/>
          <w:sz w:val="24"/>
          <w:szCs w:val="24"/>
        </w:rPr>
        <w:t xml:space="preserve"> (nav vērtējuma) </w:t>
      </w:r>
      <w:r w:rsidR="003A557D" w:rsidRPr="000D3457">
        <w:rPr>
          <w:rFonts w:ascii="Times New Roman" w:hAnsi="Times New Roman" w:cs="Times New Roman"/>
          <w:sz w:val="24"/>
          <w:szCs w:val="24"/>
        </w:rPr>
        <w:t xml:space="preserve">mācību </w:t>
      </w:r>
      <w:r w:rsidR="00F22A6F" w:rsidRPr="000D3457">
        <w:rPr>
          <w:rFonts w:ascii="Times New Roman" w:hAnsi="Times New Roman" w:cs="Times New Roman"/>
          <w:sz w:val="24"/>
          <w:szCs w:val="24"/>
        </w:rPr>
        <w:t>snieguma vērtēšanā pedagogs lieto, ja skolēns</w:t>
      </w:r>
      <w:r w:rsidR="00A41585" w:rsidRPr="000D3457">
        <w:rPr>
          <w:rFonts w:ascii="Times New Roman" w:hAnsi="Times New Roman" w:cs="Times New Roman"/>
          <w:sz w:val="24"/>
          <w:szCs w:val="24"/>
        </w:rPr>
        <w:t>:</w:t>
      </w:r>
    </w:p>
    <w:p w14:paraId="4397A2D6" w14:textId="6A311D32" w:rsidR="00F1236A" w:rsidRPr="000D3457" w:rsidRDefault="00AF60EF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skolēns </w:t>
      </w:r>
      <w:r w:rsidR="00B11164" w:rsidRPr="000D3457">
        <w:rPr>
          <w:rFonts w:ascii="Times New Roman" w:hAnsi="Times New Roman" w:cs="Times New Roman"/>
          <w:sz w:val="24"/>
          <w:szCs w:val="24"/>
        </w:rPr>
        <w:t>n</w:t>
      </w:r>
      <w:r w:rsidR="004F5E56" w:rsidRPr="000D3457">
        <w:rPr>
          <w:rFonts w:ascii="Times New Roman" w:hAnsi="Times New Roman" w:cs="Times New Roman"/>
          <w:sz w:val="24"/>
          <w:szCs w:val="24"/>
        </w:rPr>
        <w:t>av piedalījies mācību stundā, k</w:t>
      </w:r>
      <w:r w:rsidR="00351707" w:rsidRPr="000D3457">
        <w:rPr>
          <w:rFonts w:ascii="Times New Roman" w:hAnsi="Times New Roman" w:cs="Times New Roman"/>
          <w:sz w:val="24"/>
          <w:szCs w:val="24"/>
        </w:rPr>
        <w:t>urā ti</w:t>
      </w:r>
      <w:r w:rsidRPr="000D3457">
        <w:rPr>
          <w:rFonts w:ascii="Times New Roman" w:hAnsi="Times New Roman" w:cs="Times New Roman"/>
          <w:sz w:val="24"/>
          <w:szCs w:val="24"/>
        </w:rPr>
        <w:t>ek kārtots</w:t>
      </w:r>
      <w:r w:rsidR="00351707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60273C" w:rsidRPr="000D3457">
        <w:rPr>
          <w:rFonts w:ascii="Times New Roman" w:hAnsi="Times New Roman" w:cs="Times New Roman"/>
          <w:sz w:val="24"/>
          <w:szCs w:val="24"/>
        </w:rPr>
        <w:t>summatīvais pārbaudes</w:t>
      </w:r>
      <w:r w:rsidR="00EF5D5E" w:rsidRPr="000D3457">
        <w:rPr>
          <w:rFonts w:ascii="Times New Roman" w:hAnsi="Times New Roman" w:cs="Times New Roman"/>
          <w:sz w:val="24"/>
          <w:szCs w:val="24"/>
        </w:rPr>
        <w:t xml:space="preserve"> dar</w:t>
      </w:r>
      <w:r w:rsidRPr="000D3457">
        <w:rPr>
          <w:rFonts w:ascii="Times New Roman" w:hAnsi="Times New Roman" w:cs="Times New Roman"/>
          <w:sz w:val="24"/>
          <w:szCs w:val="24"/>
        </w:rPr>
        <w:t xml:space="preserve">bs </w:t>
      </w:r>
      <w:r w:rsidR="00A86893" w:rsidRPr="000D3457">
        <w:rPr>
          <w:rFonts w:ascii="Times New Roman" w:hAnsi="Times New Roman" w:cs="Times New Roman"/>
          <w:sz w:val="24"/>
          <w:szCs w:val="24"/>
        </w:rPr>
        <w:t>(apzīmējums - ,,n/nv”);</w:t>
      </w:r>
    </w:p>
    <w:p w14:paraId="793A0890" w14:textId="4783D143" w:rsidR="00AF60EF" w:rsidRPr="000D3457" w:rsidRDefault="00AF60EF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skolē</w:t>
      </w:r>
      <w:r w:rsidR="00ED7ACB" w:rsidRPr="000D3457">
        <w:rPr>
          <w:rFonts w:ascii="Times New Roman" w:hAnsi="Times New Roman" w:cs="Times New Roman"/>
          <w:sz w:val="24"/>
          <w:szCs w:val="24"/>
        </w:rPr>
        <w:t>ns piedalās mācību stundā, bet n</w:t>
      </w:r>
      <w:r w:rsidRPr="000D3457">
        <w:rPr>
          <w:rFonts w:ascii="Times New Roman" w:hAnsi="Times New Roman" w:cs="Times New Roman"/>
          <w:sz w:val="24"/>
          <w:szCs w:val="24"/>
        </w:rPr>
        <w:t>eiesniedz darbu</w:t>
      </w:r>
      <w:r w:rsidR="00ED7ACB" w:rsidRPr="000D3457">
        <w:rPr>
          <w:rFonts w:ascii="Times New Roman" w:hAnsi="Times New Roman" w:cs="Times New Roman"/>
          <w:sz w:val="24"/>
          <w:szCs w:val="24"/>
        </w:rPr>
        <w:t>;</w:t>
      </w:r>
    </w:p>
    <w:p w14:paraId="1871D59F" w14:textId="1DAE6904" w:rsidR="00146A4D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n</w:t>
      </w:r>
      <w:r w:rsidR="00F42C3B" w:rsidRPr="000D3457">
        <w:rPr>
          <w:rFonts w:ascii="Times New Roman" w:hAnsi="Times New Roman" w:cs="Times New Roman"/>
          <w:sz w:val="24"/>
          <w:szCs w:val="24"/>
        </w:rPr>
        <w:t>oteiktajā laikā</w:t>
      </w:r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146A4D" w:rsidRPr="000D3457">
        <w:rPr>
          <w:rFonts w:ascii="Times New Roman" w:hAnsi="Times New Roman" w:cs="Times New Roman"/>
          <w:sz w:val="24"/>
          <w:szCs w:val="24"/>
        </w:rPr>
        <w:t xml:space="preserve">nav iesniedzis </w:t>
      </w:r>
      <w:r w:rsidR="0060273C" w:rsidRPr="000D3457">
        <w:rPr>
          <w:rFonts w:ascii="Times New Roman" w:hAnsi="Times New Roman" w:cs="Times New Roman"/>
          <w:sz w:val="24"/>
          <w:szCs w:val="24"/>
        </w:rPr>
        <w:t xml:space="preserve">summatīvo </w:t>
      </w:r>
      <w:r w:rsidR="00C61D8C" w:rsidRPr="000D3457">
        <w:rPr>
          <w:rFonts w:ascii="Times New Roman" w:hAnsi="Times New Roman" w:cs="Times New Roman"/>
          <w:sz w:val="24"/>
          <w:szCs w:val="24"/>
        </w:rPr>
        <w:t>pārbaudes</w:t>
      </w:r>
      <w:r w:rsidR="00146A4D" w:rsidRPr="000D3457">
        <w:rPr>
          <w:rFonts w:ascii="Times New Roman" w:hAnsi="Times New Roman" w:cs="Times New Roman"/>
          <w:sz w:val="24"/>
          <w:szCs w:val="24"/>
        </w:rPr>
        <w:t xml:space="preserve"> darbu;</w:t>
      </w:r>
    </w:p>
    <w:p w14:paraId="481AA5A4" w14:textId="6C74DE33" w:rsidR="00724BC3" w:rsidRPr="000D3457" w:rsidRDefault="00C61D8C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summatīvo pār</w:t>
      </w:r>
      <w:r w:rsidR="00AA2AE3">
        <w:rPr>
          <w:rFonts w:ascii="Times New Roman" w:hAnsi="Times New Roman" w:cs="Times New Roman"/>
          <w:sz w:val="24"/>
          <w:szCs w:val="24"/>
        </w:rPr>
        <w:t>b</w:t>
      </w:r>
      <w:r w:rsidRPr="000D3457">
        <w:rPr>
          <w:rFonts w:ascii="Times New Roman" w:hAnsi="Times New Roman" w:cs="Times New Roman"/>
          <w:sz w:val="24"/>
          <w:szCs w:val="24"/>
        </w:rPr>
        <w:t xml:space="preserve">audes </w:t>
      </w:r>
      <w:r w:rsidR="00072F27" w:rsidRPr="000D3457">
        <w:rPr>
          <w:rFonts w:ascii="Times New Roman" w:hAnsi="Times New Roman" w:cs="Times New Roman"/>
          <w:sz w:val="24"/>
          <w:szCs w:val="24"/>
        </w:rPr>
        <w:t xml:space="preserve">darbu nav veicis patstāvīgi, piemēram, ir iesniedzis cita autora darbu </w:t>
      </w:r>
      <w:r w:rsidR="00724BC3" w:rsidRPr="000D3457">
        <w:rPr>
          <w:rFonts w:ascii="Times New Roman" w:hAnsi="Times New Roman" w:cs="Times New Roman"/>
          <w:sz w:val="24"/>
          <w:szCs w:val="24"/>
        </w:rPr>
        <w:t>vai tā daļu (plaģiātu);</w:t>
      </w:r>
    </w:p>
    <w:p w14:paraId="52B1123D" w14:textId="5981AC40" w:rsidR="006E3564" w:rsidRPr="000D3457" w:rsidRDefault="00C61D8C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summatīvajā pārb</w:t>
      </w:r>
      <w:r w:rsidR="00C73604" w:rsidRPr="000D3457">
        <w:rPr>
          <w:rFonts w:ascii="Times New Roman" w:hAnsi="Times New Roman" w:cs="Times New Roman"/>
          <w:sz w:val="24"/>
          <w:szCs w:val="24"/>
        </w:rPr>
        <w:t>audes</w:t>
      </w:r>
      <w:r w:rsidR="000612CD" w:rsidRPr="000D3457">
        <w:rPr>
          <w:rFonts w:ascii="Times New Roman" w:hAnsi="Times New Roman" w:cs="Times New Roman"/>
          <w:sz w:val="24"/>
          <w:szCs w:val="24"/>
        </w:rPr>
        <w:t xml:space="preserve"> darbā ir izmantojis cilvēka cieņu a</w:t>
      </w:r>
      <w:r w:rsidR="00ED7ACB" w:rsidRPr="000D3457">
        <w:rPr>
          <w:rFonts w:ascii="Times New Roman" w:hAnsi="Times New Roman" w:cs="Times New Roman"/>
          <w:sz w:val="24"/>
          <w:szCs w:val="24"/>
        </w:rPr>
        <w:t>izskarošu saturu vai izteikumus;</w:t>
      </w:r>
    </w:p>
    <w:p w14:paraId="5EB9EFA3" w14:textId="527BAEE3" w:rsidR="00ED7ACB" w:rsidRPr="000D3457" w:rsidRDefault="00ED7ACB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darbs izpildīts nesalasāmā rokrakstā;</w:t>
      </w:r>
    </w:p>
    <w:p w14:paraId="6DF11BCB" w14:textId="28E5B454" w:rsidR="00ED7ACB" w:rsidRPr="000D3457" w:rsidRDefault="00ED7ACB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darba izpildes laikā tiek konstatēta neatļautu palīglīdzekļu lietošana.</w:t>
      </w:r>
    </w:p>
    <w:p w14:paraId="104BEB4E" w14:textId="60994614" w:rsidR="00075091" w:rsidRPr="00075091" w:rsidRDefault="006E3564" w:rsidP="00F37CB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091">
        <w:rPr>
          <w:rFonts w:ascii="Times New Roman" w:hAnsi="Times New Roman" w:cs="Times New Roman"/>
          <w:sz w:val="24"/>
          <w:szCs w:val="24"/>
        </w:rPr>
        <w:t xml:space="preserve">Ja skolēns summatīvajā pārbaudes darbā nav ieguvis vērtējumu, </w:t>
      </w:r>
      <w:r w:rsidR="006733E2">
        <w:rPr>
          <w:rFonts w:ascii="Times New Roman" w:hAnsi="Times New Roman" w:cs="Times New Roman"/>
          <w:sz w:val="24"/>
          <w:szCs w:val="24"/>
        </w:rPr>
        <w:t xml:space="preserve">tad pārbaudes darbu </w:t>
      </w:r>
      <w:r w:rsidR="005201F6">
        <w:rPr>
          <w:rFonts w:ascii="Times New Roman" w:hAnsi="Times New Roman" w:cs="Times New Roman"/>
          <w:sz w:val="24"/>
          <w:szCs w:val="24"/>
        </w:rPr>
        <w:t>izpilda divu nedēļu laikā pēc atgriešan</w:t>
      </w:r>
      <w:r w:rsidR="002659E1">
        <w:rPr>
          <w:rFonts w:ascii="Times New Roman" w:hAnsi="Times New Roman" w:cs="Times New Roman"/>
          <w:sz w:val="24"/>
          <w:szCs w:val="24"/>
        </w:rPr>
        <w:t>ā</w:t>
      </w:r>
      <w:r w:rsidR="005201F6">
        <w:rPr>
          <w:rFonts w:ascii="Times New Roman" w:hAnsi="Times New Roman" w:cs="Times New Roman"/>
          <w:sz w:val="24"/>
          <w:szCs w:val="24"/>
        </w:rPr>
        <w:t>s skolā.</w:t>
      </w:r>
    </w:p>
    <w:p w14:paraId="566DF62F" w14:textId="2199472A" w:rsidR="00BC1145" w:rsidRPr="00075091" w:rsidRDefault="003B3040" w:rsidP="00F37CB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091">
        <w:rPr>
          <w:rFonts w:ascii="Times New Roman" w:hAnsi="Times New Roman" w:cs="Times New Roman"/>
          <w:sz w:val="24"/>
          <w:szCs w:val="24"/>
        </w:rPr>
        <w:t xml:space="preserve">Ja līdz mācību gada noslēgumam </w:t>
      </w:r>
      <w:r w:rsidR="00E547F6" w:rsidRPr="00075091">
        <w:rPr>
          <w:rFonts w:ascii="Times New Roman" w:hAnsi="Times New Roman" w:cs="Times New Roman"/>
          <w:sz w:val="24"/>
          <w:szCs w:val="24"/>
        </w:rPr>
        <w:t xml:space="preserve">nav iegūts vērtējums kādā no mācību priekšmeta </w:t>
      </w:r>
      <w:r w:rsidR="00EA39E0" w:rsidRPr="00075091">
        <w:rPr>
          <w:rFonts w:ascii="Times New Roman" w:hAnsi="Times New Roman" w:cs="Times New Roman"/>
          <w:sz w:val="24"/>
          <w:szCs w:val="24"/>
        </w:rPr>
        <w:t>summatīvajiem</w:t>
      </w:r>
      <w:r w:rsidR="00E547F6" w:rsidRPr="00075091">
        <w:rPr>
          <w:rFonts w:ascii="Times New Roman" w:hAnsi="Times New Roman" w:cs="Times New Roman"/>
          <w:sz w:val="24"/>
          <w:szCs w:val="24"/>
        </w:rPr>
        <w:t xml:space="preserve"> pārbaudes darbiem, </w:t>
      </w:r>
      <w:r w:rsidR="007E14E1" w:rsidRPr="00075091">
        <w:rPr>
          <w:rFonts w:ascii="Times New Roman" w:hAnsi="Times New Roman" w:cs="Times New Roman"/>
          <w:sz w:val="24"/>
          <w:szCs w:val="24"/>
        </w:rPr>
        <w:t>skolēns nesaņem vērtējumu gadā</w:t>
      </w:r>
      <w:r w:rsidR="0087672C" w:rsidRPr="00075091">
        <w:rPr>
          <w:rFonts w:ascii="Times New Roman" w:hAnsi="Times New Roman" w:cs="Times New Roman"/>
          <w:sz w:val="24"/>
          <w:szCs w:val="24"/>
        </w:rPr>
        <w:t>.</w:t>
      </w:r>
    </w:p>
    <w:p w14:paraId="4D4825C6" w14:textId="647EE8E2" w:rsidR="00584B2E" w:rsidRDefault="00ED7ACB" w:rsidP="005B0FD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Nestandarta situācijā, kas attiecas uz skolēna mācību sasniegumu uzlabošanu</w:t>
      </w:r>
      <w:r w:rsidR="008F5EA0" w:rsidRPr="000D3457">
        <w:rPr>
          <w:rFonts w:ascii="Times New Roman" w:hAnsi="Times New Roman" w:cs="Times New Roman"/>
          <w:sz w:val="24"/>
          <w:szCs w:val="24"/>
        </w:rPr>
        <w:t>, skolēns vai skolotājs vērš</w:t>
      </w:r>
      <w:r w:rsidR="00740CF2">
        <w:rPr>
          <w:rFonts w:ascii="Times New Roman" w:hAnsi="Times New Roman" w:cs="Times New Roman"/>
          <w:sz w:val="24"/>
          <w:szCs w:val="24"/>
        </w:rPr>
        <w:t>a</w:t>
      </w:r>
      <w:r w:rsidR="008F5EA0" w:rsidRPr="000D3457">
        <w:rPr>
          <w:rFonts w:ascii="Times New Roman" w:hAnsi="Times New Roman" w:cs="Times New Roman"/>
          <w:sz w:val="24"/>
          <w:szCs w:val="24"/>
        </w:rPr>
        <w:t>s pēc padoma pie direktora vai direktora vietnieka.</w:t>
      </w:r>
      <w:r w:rsidR="004B4892"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A8FEB" w14:textId="20CA4957" w:rsidR="008B24AF" w:rsidRPr="000D3457" w:rsidRDefault="008B24AF" w:rsidP="008B24AF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Pedagogam ir tiesības brīvi izvēlēties izmantot vai neizmantot mājasdarbus kā mācību satura apguves metodi, atzīmējot vai neatzīmējot tos skolas E – klases žurnālā. Ja pedagogs izmanto mājasdarbus kā metodi, tad mājasdarbi tiek vērtēti formatīvi, liekot vērtējumus </w:t>
      </w:r>
      <w:r w:rsidR="008F7DF5" w:rsidRPr="00DE1838">
        <w:rPr>
          <w:rFonts w:ascii="Times New Roman" w:hAnsi="Times New Roman" w:cs="Times New Roman"/>
          <w:sz w:val="24"/>
          <w:szCs w:val="24"/>
        </w:rPr>
        <w:t>procentos (%)</w:t>
      </w:r>
      <w:r w:rsidRPr="00DE1838">
        <w:rPr>
          <w:rFonts w:ascii="Times New Roman" w:hAnsi="Times New Roman" w:cs="Times New Roman"/>
          <w:sz w:val="24"/>
          <w:szCs w:val="24"/>
        </w:rPr>
        <w:t>.</w:t>
      </w:r>
    </w:p>
    <w:p w14:paraId="2BA36D0C" w14:textId="77777777" w:rsidR="008B24AF" w:rsidRDefault="008B24AF" w:rsidP="000D345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0E319F0A" w14:textId="77777777" w:rsidR="00A75A00" w:rsidRDefault="00A75A00" w:rsidP="000D345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73525FC6" w14:textId="77777777" w:rsidR="00A75A00" w:rsidRPr="000D3457" w:rsidRDefault="00A75A00" w:rsidP="000D345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F1BEA9E" w14:textId="0D832126" w:rsidR="00F01756" w:rsidRPr="000D3457" w:rsidRDefault="006E0BA2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457">
        <w:rPr>
          <w:rFonts w:ascii="Times New Roman" w:hAnsi="Times New Roman" w:cs="Times New Roman"/>
          <w:b/>
          <w:bCs/>
          <w:sz w:val="24"/>
          <w:szCs w:val="24"/>
        </w:rPr>
        <w:t>Mācību snieguma vērtējumu paziņošana</w:t>
      </w:r>
    </w:p>
    <w:p w14:paraId="6BC5853F" w14:textId="73AA26B8" w:rsidR="007A63D5" w:rsidRPr="000D3457" w:rsidRDefault="008A2E9C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Ierakstus </w:t>
      </w:r>
      <w:r w:rsidR="00C54F74" w:rsidRPr="000D3457">
        <w:rPr>
          <w:rFonts w:ascii="Times New Roman" w:hAnsi="Times New Roman" w:cs="Times New Roman"/>
          <w:sz w:val="24"/>
          <w:szCs w:val="24"/>
        </w:rPr>
        <w:t xml:space="preserve">par mācību stundu un mājasdarbu E-klases žurnālā </w:t>
      </w:r>
      <w:r w:rsidR="00FD654E" w:rsidRPr="000D3457">
        <w:rPr>
          <w:rFonts w:ascii="Times New Roman" w:hAnsi="Times New Roman" w:cs="Times New Roman"/>
          <w:sz w:val="24"/>
          <w:szCs w:val="24"/>
        </w:rPr>
        <w:t>pedagogi veic par katru dienu līdz plkst</w:t>
      </w:r>
      <w:r w:rsidR="005F1D6A" w:rsidRPr="000D3457">
        <w:rPr>
          <w:rFonts w:ascii="Times New Roman" w:hAnsi="Times New Roman" w:cs="Times New Roman"/>
          <w:sz w:val="24"/>
          <w:szCs w:val="24"/>
        </w:rPr>
        <w:t xml:space="preserve">. 17.00, </w:t>
      </w:r>
      <w:r w:rsidR="002B3160" w:rsidRPr="000D3457">
        <w:rPr>
          <w:rFonts w:ascii="Times New Roman" w:hAnsi="Times New Roman" w:cs="Times New Roman"/>
          <w:sz w:val="24"/>
          <w:szCs w:val="24"/>
        </w:rPr>
        <w:t xml:space="preserve">skolēnu saņemtos formatīvos vērtējumus fiksē ne </w:t>
      </w:r>
      <w:r w:rsidR="008F5B15" w:rsidRPr="000D3457">
        <w:rPr>
          <w:rFonts w:ascii="Times New Roman" w:hAnsi="Times New Roman" w:cs="Times New Roman"/>
          <w:sz w:val="24"/>
          <w:szCs w:val="24"/>
        </w:rPr>
        <w:t xml:space="preserve">vēlāk kā triju darba dienu laikā, bet summatīvos vērtējumus </w:t>
      </w:r>
      <w:r w:rsidR="003811AE" w:rsidRPr="000D3457">
        <w:rPr>
          <w:rFonts w:ascii="Times New Roman" w:hAnsi="Times New Roman" w:cs="Times New Roman"/>
          <w:sz w:val="24"/>
          <w:szCs w:val="24"/>
        </w:rPr>
        <w:t>–</w:t>
      </w:r>
      <w:r w:rsidR="008F5B15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3811AE" w:rsidRPr="000D3457">
        <w:rPr>
          <w:rFonts w:ascii="Times New Roman" w:hAnsi="Times New Roman" w:cs="Times New Roman"/>
          <w:sz w:val="24"/>
          <w:szCs w:val="24"/>
        </w:rPr>
        <w:t xml:space="preserve">ne vēlāk kā septiņas darba dienas pēc </w:t>
      </w:r>
      <w:r w:rsidR="006F1ED3" w:rsidRPr="000D3457">
        <w:rPr>
          <w:rFonts w:ascii="Times New Roman" w:hAnsi="Times New Roman" w:cs="Times New Roman"/>
          <w:sz w:val="24"/>
          <w:szCs w:val="24"/>
        </w:rPr>
        <w:t>summatīvā pārbaudes</w:t>
      </w:r>
      <w:r w:rsidR="003811AE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DF0D75" w:rsidRPr="000D3457">
        <w:rPr>
          <w:rFonts w:ascii="Times New Roman" w:hAnsi="Times New Roman" w:cs="Times New Roman"/>
          <w:sz w:val="24"/>
          <w:szCs w:val="24"/>
        </w:rPr>
        <w:t>darba iesniegšanas.</w:t>
      </w:r>
    </w:p>
    <w:p w14:paraId="63C2EA41" w14:textId="63AE6B28" w:rsidR="00DF0D75" w:rsidRPr="000D3457" w:rsidRDefault="007151AF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Mācību priekšmeta </w:t>
      </w:r>
      <w:r w:rsidR="00547EC2" w:rsidRPr="000D3457">
        <w:rPr>
          <w:rFonts w:ascii="Times New Roman" w:hAnsi="Times New Roman" w:cs="Times New Roman"/>
          <w:sz w:val="24"/>
          <w:szCs w:val="24"/>
        </w:rPr>
        <w:t>summatīvie</w:t>
      </w:r>
      <w:r w:rsidR="00E32A47" w:rsidRPr="000D3457">
        <w:rPr>
          <w:rFonts w:ascii="Times New Roman" w:hAnsi="Times New Roman" w:cs="Times New Roman"/>
          <w:sz w:val="24"/>
          <w:szCs w:val="24"/>
        </w:rPr>
        <w:t xml:space="preserve"> pārbaudes darbi tiek analizēti un saglabāti pie </w:t>
      </w:r>
      <w:r w:rsidR="001A284E" w:rsidRPr="000D3457">
        <w:rPr>
          <w:rFonts w:ascii="Times New Roman" w:hAnsi="Times New Roman" w:cs="Times New Roman"/>
          <w:sz w:val="24"/>
          <w:szCs w:val="24"/>
        </w:rPr>
        <w:t>pedagoga līdz mācību gada beigām</w:t>
      </w:r>
      <w:r w:rsidR="008F5EA0" w:rsidRPr="000D3457">
        <w:rPr>
          <w:rFonts w:ascii="Times New Roman" w:hAnsi="Times New Roman" w:cs="Times New Roman"/>
          <w:sz w:val="24"/>
          <w:szCs w:val="24"/>
        </w:rPr>
        <w:t>. Pēc skolēna vai viņa likumisko pārstāvju</w:t>
      </w:r>
      <w:r w:rsidR="00064749" w:rsidRPr="000D3457">
        <w:rPr>
          <w:rFonts w:ascii="Times New Roman" w:hAnsi="Times New Roman" w:cs="Times New Roman"/>
          <w:sz w:val="24"/>
          <w:szCs w:val="24"/>
        </w:rPr>
        <w:t xml:space="preserve"> lūguma pedagogs</w:t>
      </w:r>
      <w:r w:rsidR="00E94707" w:rsidRPr="000D3457">
        <w:rPr>
          <w:rFonts w:ascii="Times New Roman" w:hAnsi="Times New Roman" w:cs="Times New Roman"/>
          <w:sz w:val="24"/>
          <w:szCs w:val="24"/>
        </w:rPr>
        <w:t xml:space="preserve"> nodrošina viņam iespēju iepazīties </w:t>
      </w:r>
      <w:r w:rsidR="00B06879" w:rsidRPr="000D3457">
        <w:rPr>
          <w:rFonts w:ascii="Times New Roman" w:hAnsi="Times New Roman" w:cs="Times New Roman"/>
          <w:sz w:val="24"/>
          <w:szCs w:val="24"/>
        </w:rPr>
        <w:t xml:space="preserve">ar </w:t>
      </w:r>
      <w:r w:rsidR="004D7E24" w:rsidRPr="000D3457">
        <w:rPr>
          <w:rFonts w:ascii="Times New Roman" w:hAnsi="Times New Roman" w:cs="Times New Roman"/>
          <w:sz w:val="24"/>
          <w:szCs w:val="24"/>
        </w:rPr>
        <w:t xml:space="preserve">attiecīgā skolēna veikto </w:t>
      </w:r>
      <w:r w:rsidR="0091503E" w:rsidRPr="000D3457">
        <w:rPr>
          <w:rFonts w:ascii="Times New Roman" w:hAnsi="Times New Roman" w:cs="Times New Roman"/>
          <w:sz w:val="24"/>
          <w:szCs w:val="24"/>
        </w:rPr>
        <w:t>summatīvo</w:t>
      </w:r>
      <w:r w:rsidR="004D7E24" w:rsidRPr="000D3457">
        <w:rPr>
          <w:rFonts w:ascii="Times New Roman" w:hAnsi="Times New Roman" w:cs="Times New Roman"/>
          <w:sz w:val="24"/>
          <w:szCs w:val="24"/>
        </w:rPr>
        <w:t xml:space="preserve"> pārbaudes </w:t>
      </w:r>
      <w:r w:rsidR="00DB645B" w:rsidRPr="000D3457">
        <w:rPr>
          <w:rFonts w:ascii="Times New Roman" w:hAnsi="Times New Roman" w:cs="Times New Roman"/>
          <w:sz w:val="24"/>
          <w:szCs w:val="24"/>
        </w:rPr>
        <w:t>darbu pedagoga klātbūtnē.</w:t>
      </w:r>
    </w:p>
    <w:p w14:paraId="0E4E986F" w14:textId="7A9B63ED" w:rsidR="00D22E8D" w:rsidRPr="000D3457" w:rsidRDefault="00C6057A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EEC" w:rsidRPr="000D3457">
        <w:rPr>
          <w:rFonts w:ascii="Times New Roman" w:hAnsi="Times New Roman" w:cs="Times New Roman"/>
          <w:b/>
          <w:bCs/>
          <w:sz w:val="24"/>
          <w:szCs w:val="24"/>
        </w:rPr>
        <w:t>Mācību snieguma vērtējumu pārskatīšana</w:t>
      </w:r>
    </w:p>
    <w:p w14:paraId="78115225" w14:textId="5271EE1B" w:rsidR="00D22E8D" w:rsidRPr="000D3457" w:rsidRDefault="00501AD0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Ja radušās nesaskaņas par skolēna vērtējumu </w:t>
      </w:r>
      <w:r w:rsidR="004454B7" w:rsidRPr="000D3457">
        <w:rPr>
          <w:rFonts w:ascii="Times New Roman" w:hAnsi="Times New Roman" w:cs="Times New Roman"/>
          <w:sz w:val="24"/>
          <w:szCs w:val="24"/>
        </w:rPr>
        <w:t>summatīvajā pārbaudes darbā</w:t>
      </w:r>
      <w:r w:rsidR="000277D5" w:rsidRPr="000D3457">
        <w:rPr>
          <w:rFonts w:ascii="Times New Roman" w:hAnsi="Times New Roman" w:cs="Times New Roman"/>
          <w:sz w:val="24"/>
          <w:szCs w:val="24"/>
        </w:rPr>
        <w:t>, pēc vecāku</w:t>
      </w:r>
      <w:r w:rsidR="004309F9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A24C86" w:rsidRPr="000D3457">
        <w:rPr>
          <w:rFonts w:ascii="Times New Roman" w:hAnsi="Times New Roman" w:cs="Times New Roman"/>
          <w:sz w:val="24"/>
          <w:szCs w:val="24"/>
        </w:rPr>
        <w:t xml:space="preserve">vai pilngadīga skolēna </w:t>
      </w:r>
      <w:r w:rsidR="007E20AA" w:rsidRPr="000D3457">
        <w:rPr>
          <w:rFonts w:ascii="Times New Roman" w:hAnsi="Times New Roman" w:cs="Times New Roman"/>
          <w:sz w:val="24"/>
          <w:szCs w:val="24"/>
        </w:rPr>
        <w:t xml:space="preserve">rakstiska </w:t>
      </w:r>
      <w:r w:rsidR="00A8503B" w:rsidRPr="000D3457">
        <w:rPr>
          <w:rFonts w:ascii="Times New Roman" w:hAnsi="Times New Roman" w:cs="Times New Roman"/>
          <w:sz w:val="24"/>
          <w:szCs w:val="24"/>
        </w:rPr>
        <w:t>pieprasījuma skolas direktors pieņ</w:t>
      </w:r>
      <w:r w:rsidR="00FC26FE" w:rsidRPr="000D3457">
        <w:rPr>
          <w:rFonts w:ascii="Times New Roman" w:hAnsi="Times New Roman" w:cs="Times New Roman"/>
          <w:sz w:val="24"/>
          <w:szCs w:val="24"/>
        </w:rPr>
        <w:t>e</w:t>
      </w:r>
      <w:r w:rsidR="00A8503B" w:rsidRPr="000D3457">
        <w:rPr>
          <w:rFonts w:ascii="Times New Roman" w:hAnsi="Times New Roman" w:cs="Times New Roman"/>
          <w:sz w:val="24"/>
          <w:szCs w:val="24"/>
        </w:rPr>
        <w:t xml:space="preserve">m lēmumu par vērtējuma </w:t>
      </w:r>
      <w:r w:rsidR="00FC26FE" w:rsidRPr="000D3457">
        <w:rPr>
          <w:rFonts w:ascii="Times New Roman" w:hAnsi="Times New Roman" w:cs="Times New Roman"/>
          <w:sz w:val="24"/>
          <w:szCs w:val="24"/>
        </w:rPr>
        <w:t>apstiprināšanu vai pārskatīšanu.</w:t>
      </w:r>
    </w:p>
    <w:p w14:paraId="0F2BDF14" w14:textId="1E928F56" w:rsidR="00DD0EF2" w:rsidRDefault="002A3272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Ja </w:t>
      </w:r>
      <w:r w:rsidR="00B04283" w:rsidRPr="000D3457">
        <w:rPr>
          <w:rFonts w:ascii="Times New Roman" w:hAnsi="Times New Roman" w:cs="Times New Roman"/>
          <w:sz w:val="24"/>
          <w:szCs w:val="24"/>
        </w:rPr>
        <w:t xml:space="preserve">mācību gada noslēgumā vērtējums mācību priekšmetā izšķiras </w:t>
      </w:r>
      <w:r w:rsidR="002A367B" w:rsidRPr="000D3457">
        <w:rPr>
          <w:rFonts w:ascii="Times New Roman" w:hAnsi="Times New Roman" w:cs="Times New Roman"/>
          <w:sz w:val="24"/>
          <w:szCs w:val="24"/>
        </w:rPr>
        <w:t>vienas balles robežās, pedagogs</w:t>
      </w:r>
      <w:r w:rsidR="00A07A50" w:rsidRPr="000D3457">
        <w:rPr>
          <w:rFonts w:ascii="Times New Roman" w:hAnsi="Times New Roman" w:cs="Times New Roman"/>
          <w:sz w:val="24"/>
          <w:szCs w:val="24"/>
        </w:rPr>
        <w:t xml:space="preserve"> piedāvā iespēju pēc </w:t>
      </w:r>
      <w:r w:rsidR="00E20661" w:rsidRPr="000D3457">
        <w:rPr>
          <w:rFonts w:ascii="Times New Roman" w:hAnsi="Times New Roman" w:cs="Times New Roman"/>
          <w:sz w:val="24"/>
          <w:szCs w:val="24"/>
        </w:rPr>
        <w:t>skolēna vēlēšanās demonstrēt sniegumu</w:t>
      </w:r>
      <w:r w:rsidR="001E577C" w:rsidRPr="000D3457">
        <w:rPr>
          <w:rFonts w:ascii="Times New Roman" w:hAnsi="Times New Roman" w:cs="Times New Roman"/>
          <w:sz w:val="24"/>
          <w:szCs w:val="24"/>
        </w:rPr>
        <w:t xml:space="preserve">, veicot </w:t>
      </w:r>
      <w:r w:rsidR="00CB10E5" w:rsidRPr="000D3457">
        <w:rPr>
          <w:rFonts w:ascii="Times New Roman" w:hAnsi="Times New Roman" w:cs="Times New Roman"/>
          <w:sz w:val="24"/>
          <w:szCs w:val="24"/>
        </w:rPr>
        <w:t xml:space="preserve">kombinētu pārbaudes darbu. Par pārbaudes darba laiku </w:t>
      </w:r>
      <w:r w:rsidR="00D15E47" w:rsidRPr="000D3457">
        <w:rPr>
          <w:rFonts w:ascii="Times New Roman" w:hAnsi="Times New Roman" w:cs="Times New Roman"/>
          <w:sz w:val="24"/>
          <w:szCs w:val="24"/>
        </w:rPr>
        <w:t xml:space="preserve">informē skolēnu ne vēlāk kā piecas </w:t>
      </w:r>
      <w:r w:rsidR="006E3366" w:rsidRPr="000D3457">
        <w:rPr>
          <w:rFonts w:ascii="Times New Roman" w:hAnsi="Times New Roman" w:cs="Times New Roman"/>
          <w:sz w:val="24"/>
          <w:szCs w:val="24"/>
        </w:rPr>
        <w:t>dienas pirms darba norises.</w:t>
      </w:r>
    </w:p>
    <w:p w14:paraId="69C1087F" w14:textId="60A85C04" w:rsidR="005D4344" w:rsidRPr="000D3457" w:rsidRDefault="00BA174A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CC147C">
        <w:rPr>
          <w:rFonts w:ascii="Times New Roman" w:hAnsi="Times New Roman" w:cs="Times New Roman"/>
          <w:sz w:val="24"/>
          <w:szCs w:val="24"/>
        </w:rPr>
        <w:t>mācību gada noslēgumā</w:t>
      </w:r>
      <w:r w:rsidR="00930609">
        <w:rPr>
          <w:rFonts w:ascii="Times New Roman" w:hAnsi="Times New Roman" w:cs="Times New Roman"/>
          <w:sz w:val="24"/>
          <w:szCs w:val="24"/>
        </w:rPr>
        <w:t xml:space="preserve">, skolēns izsaka vēlēšanos uzlabot vērtējumu, pedagogs piedāvā kombinētu pārbaudes darbu, </w:t>
      </w:r>
      <w:r w:rsidR="00D457FB">
        <w:rPr>
          <w:rFonts w:ascii="Times New Roman" w:hAnsi="Times New Roman" w:cs="Times New Roman"/>
          <w:sz w:val="24"/>
          <w:szCs w:val="24"/>
        </w:rPr>
        <w:t>kas ietver būtiskāko mācību gada sasniedzamo rezultātu pārbaudi mācību priekšmetā</w:t>
      </w:r>
      <w:r w:rsidR="008E7EE2">
        <w:rPr>
          <w:rFonts w:ascii="Times New Roman" w:hAnsi="Times New Roman" w:cs="Times New Roman"/>
          <w:sz w:val="24"/>
          <w:szCs w:val="24"/>
        </w:rPr>
        <w:t>. Šajā darbā iegūt</w:t>
      </w:r>
      <w:r w:rsidR="00B221A0">
        <w:rPr>
          <w:rFonts w:ascii="Times New Roman" w:hAnsi="Times New Roman" w:cs="Times New Roman"/>
          <w:sz w:val="24"/>
          <w:szCs w:val="24"/>
        </w:rPr>
        <w:t xml:space="preserve">ā vērtējuma svars ir 70 % pret iepriekš iegūto </w:t>
      </w:r>
      <w:r w:rsidR="0090484A">
        <w:rPr>
          <w:rFonts w:ascii="Times New Roman" w:hAnsi="Times New Roman" w:cs="Times New Roman"/>
          <w:sz w:val="24"/>
          <w:szCs w:val="24"/>
        </w:rPr>
        <w:t>vērtējumu gadā.</w:t>
      </w:r>
    </w:p>
    <w:p w14:paraId="708315B0" w14:textId="6E79C218" w:rsidR="00C924C0" w:rsidRPr="000D3457" w:rsidRDefault="00C924C0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VI. Noslēguma jautājumi</w:t>
      </w:r>
    </w:p>
    <w:p w14:paraId="56A3B379" w14:textId="0EAFE5C5" w:rsidR="00EE1D71" w:rsidRPr="000D3457" w:rsidRDefault="00EE1D71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Mācību sasniegumu vērtēšanas kārtība ir apspriesta metodiskajās komisijās, metodiskās padomes sēdē, saskaņota un apstiprināta pedagoģiskās padomes sēdē, to izdod direktore, tā ir saistoša visiem skolas pedagogiem un skolēniem.</w:t>
      </w:r>
    </w:p>
    <w:p w14:paraId="148627DF" w14:textId="494EB446" w:rsidR="00C924C0" w:rsidRPr="000D3457" w:rsidRDefault="003B2CAC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Atzīt par spēku zaudējušu </w:t>
      </w:r>
      <w:r w:rsidR="002033B5" w:rsidRPr="00E643C1">
        <w:rPr>
          <w:rFonts w:ascii="Times New Roman" w:hAnsi="Times New Roman" w:cs="Times New Roman"/>
          <w:color w:val="000000" w:themeColor="text1"/>
          <w:sz w:val="24"/>
          <w:szCs w:val="24"/>
        </w:rPr>
        <w:t>01.09.202</w:t>
      </w:r>
      <w:r w:rsidR="00DB0EA7" w:rsidRPr="00E643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33B5" w:rsidRPr="00E643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09B2" w:rsidRPr="00E64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9B2" w:rsidRPr="000D3457">
        <w:rPr>
          <w:rFonts w:ascii="Times New Roman" w:hAnsi="Times New Roman" w:cs="Times New Roman"/>
          <w:sz w:val="24"/>
          <w:szCs w:val="24"/>
        </w:rPr>
        <w:t xml:space="preserve">Sūnu pamatskolas </w:t>
      </w:r>
      <w:r w:rsidR="00991F96" w:rsidRPr="000D3457">
        <w:rPr>
          <w:rFonts w:ascii="Times New Roman" w:hAnsi="Times New Roman" w:cs="Times New Roman"/>
          <w:sz w:val="24"/>
          <w:szCs w:val="24"/>
        </w:rPr>
        <w:t>kārtību, kādā tiek izvērtēti skolēna mācību sasniegumi</w:t>
      </w:r>
      <w:r w:rsidR="00EF1DD6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16EF6AB7" w14:textId="23B68E1D" w:rsidR="00EF1DD6" w:rsidRPr="000D3457" w:rsidRDefault="002033B5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Noteikumi apspriesti </w:t>
      </w:r>
      <w:r w:rsidR="00E753D8" w:rsidRPr="00E643C1">
        <w:rPr>
          <w:rFonts w:ascii="Times New Roman" w:hAnsi="Times New Roman" w:cs="Times New Roman"/>
          <w:sz w:val="24"/>
          <w:szCs w:val="24"/>
        </w:rPr>
        <w:t>2</w:t>
      </w:r>
      <w:r w:rsidR="00391546" w:rsidRPr="00E643C1">
        <w:rPr>
          <w:rFonts w:ascii="Times New Roman" w:hAnsi="Times New Roman" w:cs="Times New Roman"/>
          <w:sz w:val="24"/>
          <w:szCs w:val="24"/>
        </w:rPr>
        <w:t>8</w:t>
      </w:r>
      <w:r w:rsidRPr="00E643C1">
        <w:rPr>
          <w:rFonts w:ascii="Times New Roman" w:hAnsi="Times New Roman" w:cs="Times New Roman"/>
          <w:sz w:val="24"/>
          <w:szCs w:val="24"/>
        </w:rPr>
        <w:t>.0</w:t>
      </w:r>
      <w:r w:rsidR="00E753D8" w:rsidRPr="00E643C1">
        <w:rPr>
          <w:rFonts w:ascii="Times New Roman" w:hAnsi="Times New Roman" w:cs="Times New Roman"/>
          <w:sz w:val="24"/>
          <w:szCs w:val="24"/>
        </w:rPr>
        <w:t>8</w:t>
      </w:r>
      <w:r w:rsidRPr="00E643C1">
        <w:rPr>
          <w:rFonts w:ascii="Times New Roman" w:hAnsi="Times New Roman" w:cs="Times New Roman"/>
          <w:sz w:val="24"/>
          <w:szCs w:val="24"/>
        </w:rPr>
        <w:t>.202</w:t>
      </w:r>
      <w:r w:rsidR="00DB0EA7" w:rsidRPr="00E643C1">
        <w:rPr>
          <w:rFonts w:ascii="Times New Roman" w:hAnsi="Times New Roman" w:cs="Times New Roman"/>
          <w:sz w:val="24"/>
          <w:szCs w:val="24"/>
        </w:rPr>
        <w:t>5</w:t>
      </w:r>
      <w:r w:rsidRPr="00E643C1">
        <w:rPr>
          <w:rFonts w:ascii="Times New Roman" w:hAnsi="Times New Roman" w:cs="Times New Roman"/>
          <w:sz w:val="24"/>
          <w:szCs w:val="24"/>
        </w:rPr>
        <w:t xml:space="preserve">.  </w:t>
      </w:r>
      <w:r w:rsidRPr="000D3457">
        <w:rPr>
          <w:rFonts w:ascii="Times New Roman" w:hAnsi="Times New Roman" w:cs="Times New Roman"/>
          <w:sz w:val="24"/>
          <w:szCs w:val="24"/>
        </w:rPr>
        <w:t xml:space="preserve">pedagoģiskajā padomes sēdē un </w:t>
      </w:r>
      <w:r w:rsidR="00D03706" w:rsidRPr="000D3457">
        <w:rPr>
          <w:rFonts w:ascii="Times New Roman" w:hAnsi="Times New Roman" w:cs="Times New Roman"/>
          <w:sz w:val="24"/>
          <w:szCs w:val="24"/>
        </w:rPr>
        <w:t>stājas spēkā 202</w:t>
      </w:r>
      <w:r w:rsidR="00DB0EA7">
        <w:rPr>
          <w:rFonts w:ascii="Times New Roman" w:hAnsi="Times New Roman" w:cs="Times New Roman"/>
          <w:sz w:val="24"/>
          <w:szCs w:val="24"/>
        </w:rPr>
        <w:t>5</w:t>
      </w:r>
      <w:r w:rsidR="00D03706" w:rsidRPr="000D3457">
        <w:rPr>
          <w:rFonts w:ascii="Times New Roman" w:hAnsi="Times New Roman" w:cs="Times New Roman"/>
          <w:sz w:val="24"/>
          <w:szCs w:val="24"/>
        </w:rPr>
        <w:t>.</w:t>
      </w:r>
      <w:r w:rsidR="006D3F62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D03706" w:rsidRPr="000D3457">
        <w:rPr>
          <w:rFonts w:ascii="Times New Roman" w:hAnsi="Times New Roman" w:cs="Times New Roman"/>
          <w:sz w:val="24"/>
          <w:szCs w:val="24"/>
        </w:rPr>
        <w:t xml:space="preserve">gada </w:t>
      </w:r>
      <w:r w:rsidR="00F0734F">
        <w:rPr>
          <w:rFonts w:ascii="Times New Roman" w:hAnsi="Times New Roman" w:cs="Times New Roman"/>
          <w:sz w:val="24"/>
          <w:szCs w:val="24"/>
        </w:rPr>
        <w:t>1. septembrī.</w:t>
      </w:r>
    </w:p>
    <w:p w14:paraId="73B31248" w14:textId="22AFCE42" w:rsidR="006D3F62" w:rsidRPr="000D3457" w:rsidRDefault="00E9754F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Grozījumus vērtēš</w:t>
      </w:r>
      <w:r w:rsidR="004A3CD3" w:rsidRPr="000D3457">
        <w:rPr>
          <w:rFonts w:ascii="Times New Roman" w:hAnsi="Times New Roman" w:cs="Times New Roman"/>
          <w:sz w:val="24"/>
          <w:szCs w:val="24"/>
        </w:rPr>
        <w:t>a</w:t>
      </w:r>
      <w:r w:rsidRPr="000D3457">
        <w:rPr>
          <w:rFonts w:ascii="Times New Roman" w:hAnsi="Times New Roman" w:cs="Times New Roman"/>
          <w:sz w:val="24"/>
          <w:szCs w:val="24"/>
        </w:rPr>
        <w:t>nas kārtībā izdara</w:t>
      </w:r>
      <w:r w:rsidR="004A3CD3" w:rsidRPr="000D3457">
        <w:rPr>
          <w:rFonts w:ascii="Times New Roman" w:hAnsi="Times New Roman" w:cs="Times New Roman"/>
          <w:sz w:val="24"/>
          <w:szCs w:val="24"/>
        </w:rPr>
        <w:t>, pamatojoties uz izmaiņām normatīvajos aktos vai skolas pedago</w:t>
      </w:r>
      <w:r w:rsidR="00272442" w:rsidRPr="000D3457">
        <w:rPr>
          <w:rFonts w:ascii="Times New Roman" w:hAnsi="Times New Roman" w:cs="Times New Roman"/>
          <w:sz w:val="24"/>
          <w:szCs w:val="24"/>
        </w:rPr>
        <w:t>ģiskās padomes lēmumu.</w:t>
      </w:r>
    </w:p>
    <w:p w14:paraId="19CF584B" w14:textId="245BECCF" w:rsidR="0039563B" w:rsidRPr="000D3457" w:rsidRDefault="0039563B" w:rsidP="0039563B">
      <w:pPr>
        <w:rPr>
          <w:rFonts w:ascii="Times New Roman" w:hAnsi="Times New Roman" w:cs="Times New Roman"/>
          <w:sz w:val="24"/>
          <w:szCs w:val="24"/>
        </w:rPr>
      </w:pPr>
    </w:p>
    <w:p w14:paraId="0EDD1DF4" w14:textId="475F1814" w:rsidR="002033B5" w:rsidRPr="000D3457" w:rsidRDefault="002033B5" w:rsidP="000D34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Direktore </w:t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  <w:t>I. Ziediņa</w:t>
      </w:r>
    </w:p>
    <w:sectPr w:rsidR="002033B5" w:rsidRPr="000D3457" w:rsidSect="000D34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012A" w14:textId="77777777" w:rsidR="00F65D90" w:rsidRDefault="00F65D90" w:rsidP="00E67A8E">
      <w:pPr>
        <w:spacing w:after="0" w:line="240" w:lineRule="auto"/>
      </w:pPr>
      <w:r>
        <w:separator/>
      </w:r>
    </w:p>
  </w:endnote>
  <w:endnote w:type="continuationSeparator" w:id="0">
    <w:p w14:paraId="4F36886D" w14:textId="77777777" w:rsidR="00F65D90" w:rsidRDefault="00F65D90" w:rsidP="00E6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2A078" w14:textId="77777777" w:rsidR="00F65D90" w:rsidRDefault="00F65D90" w:rsidP="00E67A8E">
      <w:pPr>
        <w:spacing w:after="0" w:line="240" w:lineRule="auto"/>
      </w:pPr>
      <w:r>
        <w:separator/>
      </w:r>
    </w:p>
  </w:footnote>
  <w:footnote w:type="continuationSeparator" w:id="0">
    <w:p w14:paraId="3BAAC7E1" w14:textId="77777777" w:rsidR="00F65D90" w:rsidRDefault="00F65D90" w:rsidP="00E6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F4270"/>
    <w:multiLevelType w:val="hybridMultilevel"/>
    <w:tmpl w:val="DC36C09C"/>
    <w:lvl w:ilvl="0" w:tplc="5C0A6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B1CB3"/>
    <w:multiLevelType w:val="multilevel"/>
    <w:tmpl w:val="0CD4A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04552423">
    <w:abstractNumId w:val="0"/>
  </w:num>
  <w:num w:numId="2" w16cid:durableId="88414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7"/>
    <w:rsid w:val="000050FE"/>
    <w:rsid w:val="00011042"/>
    <w:rsid w:val="000162BD"/>
    <w:rsid w:val="000254B6"/>
    <w:rsid w:val="000272C4"/>
    <w:rsid w:val="000277D5"/>
    <w:rsid w:val="0005070D"/>
    <w:rsid w:val="00052912"/>
    <w:rsid w:val="0005429E"/>
    <w:rsid w:val="00055C79"/>
    <w:rsid w:val="000612CD"/>
    <w:rsid w:val="00064749"/>
    <w:rsid w:val="00072F27"/>
    <w:rsid w:val="00073619"/>
    <w:rsid w:val="00075091"/>
    <w:rsid w:val="000964C7"/>
    <w:rsid w:val="000A5911"/>
    <w:rsid w:val="000A7F8E"/>
    <w:rsid w:val="000D12A9"/>
    <w:rsid w:val="000D14B4"/>
    <w:rsid w:val="000D3457"/>
    <w:rsid w:val="000D5901"/>
    <w:rsid w:val="00141095"/>
    <w:rsid w:val="00146A4D"/>
    <w:rsid w:val="0015532B"/>
    <w:rsid w:val="00161D1D"/>
    <w:rsid w:val="00166248"/>
    <w:rsid w:val="00166555"/>
    <w:rsid w:val="001709C4"/>
    <w:rsid w:val="00174E43"/>
    <w:rsid w:val="001774CE"/>
    <w:rsid w:val="001819D5"/>
    <w:rsid w:val="00181BC1"/>
    <w:rsid w:val="00184791"/>
    <w:rsid w:val="00192D04"/>
    <w:rsid w:val="0019586B"/>
    <w:rsid w:val="00197CB9"/>
    <w:rsid w:val="001A174C"/>
    <w:rsid w:val="001A284E"/>
    <w:rsid w:val="001B05BA"/>
    <w:rsid w:val="001B148D"/>
    <w:rsid w:val="001B4156"/>
    <w:rsid w:val="001B5AB9"/>
    <w:rsid w:val="001B6F74"/>
    <w:rsid w:val="001B765A"/>
    <w:rsid w:val="001B7E99"/>
    <w:rsid w:val="001C34CD"/>
    <w:rsid w:val="001D713B"/>
    <w:rsid w:val="001E577C"/>
    <w:rsid w:val="001E6974"/>
    <w:rsid w:val="001E6BA3"/>
    <w:rsid w:val="001F56BF"/>
    <w:rsid w:val="002004EA"/>
    <w:rsid w:val="002033B5"/>
    <w:rsid w:val="0021076F"/>
    <w:rsid w:val="00223763"/>
    <w:rsid w:val="002262D5"/>
    <w:rsid w:val="002269C4"/>
    <w:rsid w:val="0023669C"/>
    <w:rsid w:val="0024048A"/>
    <w:rsid w:val="00243C13"/>
    <w:rsid w:val="00245DED"/>
    <w:rsid w:val="002465D8"/>
    <w:rsid w:val="00246F43"/>
    <w:rsid w:val="00260470"/>
    <w:rsid w:val="0026157D"/>
    <w:rsid w:val="002642CD"/>
    <w:rsid w:val="002659E1"/>
    <w:rsid w:val="00270050"/>
    <w:rsid w:val="00272442"/>
    <w:rsid w:val="00272C9F"/>
    <w:rsid w:val="00275C5F"/>
    <w:rsid w:val="00276909"/>
    <w:rsid w:val="00282BDC"/>
    <w:rsid w:val="00286621"/>
    <w:rsid w:val="00294B57"/>
    <w:rsid w:val="002959E1"/>
    <w:rsid w:val="002A3272"/>
    <w:rsid w:val="002A367B"/>
    <w:rsid w:val="002B0845"/>
    <w:rsid w:val="002B1AFE"/>
    <w:rsid w:val="002B3160"/>
    <w:rsid w:val="002B3697"/>
    <w:rsid w:val="002D6D38"/>
    <w:rsid w:val="002F0BBB"/>
    <w:rsid w:val="002F55D1"/>
    <w:rsid w:val="002F5BD6"/>
    <w:rsid w:val="00300547"/>
    <w:rsid w:val="003014D1"/>
    <w:rsid w:val="00303EDB"/>
    <w:rsid w:val="003147E2"/>
    <w:rsid w:val="003168B6"/>
    <w:rsid w:val="003354E9"/>
    <w:rsid w:val="00341EBB"/>
    <w:rsid w:val="003432D0"/>
    <w:rsid w:val="00343559"/>
    <w:rsid w:val="00346B72"/>
    <w:rsid w:val="00350BD4"/>
    <w:rsid w:val="00351707"/>
    <w:rsid w:val="0036635F"/>
    <w:rsid w:val="003724C2"/>
    <w:rsid w:val="003811AE"/>
    <w:rsid w:val="00382552"/>
    <w:rsid w:val="00391546"/>
    <w:rsid w:val="00391DF8"/>
    <w:rsid w:val="0039563B"/>
    <w:rsid w:val="003957C1"/>
    <w:rsid w:val="003970DB"/>
    <w:rsid w:val="003A557D"/>
    <w:rsid w:val="003A65A9"/>
    <w:rsid w:val="003B079B"/>
    <w:rsid w:val="003B2CAC"/>
    <w:rsid w:val="003B3040"/>
    <w:rsid w:val="003B7A41"/>
    <w:rsid w:val="003B7AAC"/>
    <w:rsid w:val="003B7FA3"/>
    <w:rsid w:val="003D0B4A"/>
    <w:rsid w:val="003D34D9"/>
    <w:rsid w:val="003E7512"/>
    <w:rsid w:val="003F09B2"/>
    <w:rsid w:val="003F5637"/>
    <w:rsid w:val="003F5760"/>
    <w:rsid w:val="003F7CC3"/>
    <w:rsid w:val="004105A1"/>
    <w:rsid w:val="004201A9"/>
    <w:rsid w:val="00422258"/>
    <w:rsid w:val="004226C9"/>
    <w:rsid w:val="004309F9"/>
    <w:rsid w:val="00434D28"/>
    <w:rsid w:val="00437C50"/>
    <w:rsid w:val="004454B7"/>
    <w:rsid w:val="004463ED"/>
    <w:rsid w:val="00456769"/>
    <w:rsid w:val="00456B63"/>
    <w:rsid w:val="0045704F"/>
    <w:rsid w:val="004574BE"/>
    <w:rsid w:val="00461167"/>
    <w:rsid w:val="00476784"/>
    <w:rsid w:val="00477230"/>
    <w:rsid w:val="00484ABD"/>
    <w:rsid w:val="00493B51"/>
    <w:rsid w:val="004A179D"/>
    <w:rsid w:val="004A3CD3"/>
    <w:rsid w:val="004A7106"/>
    <w:rsid w:val="004B482F"/>
    <w:rsid w:val="004B4892"/>
    <w:rsid w:val="004B7ADB"/>
    <w:rsid w:val="004C046B"/>
    <w:rsid w:val="004C72DC"/>
    <w:rsid w:val="004D0A49"/>
    <w:rsid w:val="004D7E24"/>
    <w:rsid w:val="004E0A90"/>
    <w:rsid w:val="004E52D5"/>
    <w:rsid w:val="004F3A7F"/>
    <w:rsid w:val="004F5E56"/>
    <w:rsid w:val="004F679F"/>
    <w:rsid w:val="00501AD0"/>
    <w:rsid w:val="00501E14"/>
    <w:rsid w:val="0051262F"/>
    <w:rsid w:val="00513912"/>
    <w:rsid w:val="0051780D"/>
    <w:rsid w:val="0051790B"/>
    <w:rsid w:val="005201F6"/>
    <w:rsid w:val="0052318D"/>
    <w:rsid w:val="005329DE"/>
    <w:rsid w:val="00535FBE"/>
    <w:rsid w:val="005412BB"/>
    <w:rsid w:val="00543397"/>
    <w:rsid w:val="005474CD"/>
    <w:rsid w:val="00547EC2"/>
    <w:rsid w:val="005522FD"/>
    <w:rsid w:val="00552FF1"/>
    <w:rsid w:val="0056425E"/>
    <w:rsid w:val="00571911"/>
    <w:rsid w:val="0057263A"/>
    <w:rsid w:val="00577DA1"/>
    <w:rsid w:val="0058068D"/>
    <w:rsid w:val="00584B2E"/>
    <w:rsid w:val="00592BF2"/>
    <w:rsid w:val="005A3D8D"/>
    <w:rsid w:val="005A5D7C"/>
    <w:rsid w:val="005B0FDD"/>
    <w:rsid w:val="005C3D12"/>
    <w:rsid w:val="005D4344"/>
    <w:rsid w:val="005E24C4"/>
    <w:rsid w:val="005E4116"/>
    <w:rsid w:val="005E67BA"/>
    <w:rsid w:val="005F1020"/>
    <w:rsid w:val="005F1D6A"/>
    <w:rsid w:val="0060273C"/>
    <w:rsid w:val="00604DFA"/>
    <w:rsid w:val="00604F73"/>
    <w:rsid w:val="00606020"/>
    <w:rsid w:val="00612600"/>
    <w:rsid w:val="00613D1C"/>
    <w:rsid w:val="00622BCC"/>
    <w:rsid w:val="00622D09"/>
    <w:rsid w:val="00625AE7"/>
    <w:rsid w:val="00625B9B"/>
    <w:rsid w:val="00633A87"/>
    <w:rsid w:val="006428A4"/>
    <w:rsid w:val="00643514"/>
    <w:rsid w:val="006579EA"/>
    <w:rsid w:val="00660121"/>
    <w:rsid w:val="006607A3"/>
    <w:rsid w:val="006672BB"/>
    <w:rsid w:val="006733E2"/>
    <w:rsid w:val="006779FE"/>
    <w:rsid w:val="0068252A"/>
    <w:rsid w:val="00684F4D"/>
    <w:rsid w:val="00693562"/>
    <w:rsid w:val="006A3C08"/>
    <w:rsid w:val="006A5B2A"/>
    <w:rsid w:val="006B47AB"/>
    <w:rsid w:val="006B612D"/>
    <w:rsid w:val="006B7675"/>
    <w:rsid w:val="006C3CA4"/>
    <w:rsid w:val="006C7724"/>
    <w:rsid w:val="006D0E4B"/>
    <w:rsid w:val="006D36E2"/>
    <w:rsid w:val="006D3F62"/>
    <w:rsid w:val="006D563A"/>
    <w:rsid w:val="006D79A4"/>
    <w:rsid w:val="006E0BA2"/>
    <w:rsid w:val="006E2294"/>
    <w:rsid w:val="006E3366"/>
    <w:rsid w:val="006E3564"/>
    <w:rsid w:val="006E5082"/>
    <w:rsid w:val="006E6FD2"/>
    <w:rsid w:val="006E7ECE"/>
    <w:rsid w:val="006F1ED3"/>
    <w:rsid w:val="006F3056"/>
    <w:rsid w:val="006F373E"/>
    <w:rsid w:val="006F45BF"/>
    <w:rsid w:val="00702B00"/>
    <w:rsid w:val="00706DC9"/>
    <w:rsid w:val="00710DD6"/>
    <w:rsid w:val="00711E0E"/>
    <w:rsid w:val="007151AF"/>
    <w:rsid w:val="0071605A"/>
    <w:rsid w:val="0071796E"/>
    <w:rsid w:val="00724BC3"/>
    <w:rsid w:val="00732892"/>
    <w:rsid w:val="00733467"/>
    <w:rsid w:val="0073519B"/>
    <w:rsid w:val="00740CF2"/>
    <w:rsid w:val="007512FD"/>
    <w:rsid w:val="00757B8E"/>
    <w:rsid w:val="00761309"/>
    <w:rsid w:val="00762791"/>
    <w:rsid w:val="00773BFF"/>
    <w:rsid w:val="00774E0E"/>
    <w:rsid w:val="007846D9"/>
    <w:rsid w:val="007854C3"/>
    <w:rsid w:val="00785E13"/>
    <w:rsid w:val="007871A7"/>
    <w:rsid w:val="0079720A"/>
    <w:rsid w:val="007A51CF"/>
    <w:rsid w:val="007A56B6"/>
    <w:rsid w:val="007A63D5"/>
    <w:rsid w:val="007A6B8A"/>
    <w:rsid w:val="007B3B04"/>
    <w:rsid w:val="007B3B17"/>
    <w:rsid w:val="007B50A0"/>
    <w:rsid w:val="007C2A2D"/>
    <w:rsid w:val="007C31FF"/>
    <w:rsid w:val="007C5BD9"/>
    <w:rsid w:val="007D02FB"/>
    <w:rsid w:val="007D090B"/>
    <w:rsid w:val="007D1482"/>
    <w:rsid w:val="007D17FD"/>
    <w:rsid w:val="007D1C6D"/>
    <w:rsid w:val="007D3BE0"/>
    <w:rsid w:val="007D7C0D"/>
    <w:rsid w:val="007E140C"/>
    <w:rsid w:val="007E14E1"/>
    <w:rsid w:val="007E152F"/>
    <w:rsid w:val="007E170D"/>
    <w:rsid w:val="007E20AA"/>
    <w:rsid w:val="007E64BC"/>
    <w:rsid w:val="007F4B33"/>
    <w:rsid w:val="00800ED9"/>
    <w:rsid w:val="00804003"/>
    <w:rsid w:val="008100A4"/>
    <w:rsid w:val="0081129F"/>
    <w:rsid w:val="00815843"/>
    <w:rsid w:val="00816E5B"/>
    <w:rsid w:val="00830A38"/>
    <w:rsid w:val="008327FD"/>
    <w:rsid w:val="00834420"/>
    <w:rsid w:val="00834752"/>
    <w:rsid w:val="008372FA"/>
    <w:rsid w:val="00841E0E"/>
    <w:rsid w:val="00842AE4"/>
    <w:rsid w:val="00843B93"/>
    <w:rsid w:val="00846974"/>
    <w:rsid w:val="00861434"/>
    <w:rsid w:val="00863BB2"/>
    <w:rsid w:val="008657BE"/>
    <w:rsid w:val="00867B98"/>
    <w:rsid w:val="00872DE4"/>
    <w:rsid w:val="0087672C"/>
    <w:rsid w:val="00884F42"/>
    <w:rsid w:val="00887798"/>
    <w:rsid w:val="00897B0A"/>
    <w:rsid w:val="008A2E9C"/>
    <w:rsid w:val="008B24AF"/>
    <w:rsid w:val="008B45AD"/>
    <w:rsid w:val="008B6B60"/>
    <w:rsid w:val="008C33AE"/>
    <w:rsid w:val="008C479B"/>
    <w:rsid w:val="008D07E0"/>
    <w:rsid w:val="008D143C"/>
    <w:rsid w:val="008E0139"/>
    <w:rsid w:val="008E4313"/>
    <w:rsid w:val="008E4C69"/>
    <w:rsid w:val="008E5BDC"/>
    <w:rsid w:val="008E6BD5"/>
    <w:rsid w:val="008E7416"/>
    <w:rsid w:val="008E767E"/>
    <w:rsid w:val="008E7EE2"/>
    <w:rsid w:val="008F0857"/>
    <w:rsid w:val="008F3F99"/>
    <w:rsid w:val="008F3FE6"/>
    <w:rsid w:val="008F5B15"/>
    <w:rsid w:val="008F5EA0"/>
    <w:rsid w:val="008F7DF5"/>
    <w:rsid w:val="00902C92"/>
    <w:rsid w:val="00902D16"/>
    <w:rsid w:val="0090484A"/>
    <w:rsid w:val="0091503E"/>
    <w:rsid w:val="00915DDD"/>
    <w:rsid w:val="0092080E"/>
    <w:rsid w:val="0092577B"/>
    <w:rsid w:val="00930609"/>
    <w:rsid w:val="00931DA4"/>
    <w:rsid w:val="00937491"/>
    <w:rsid w:val="00946B57"/>
    <w:rsid w:val="00954DBD"/>
    <w:rsid w:val="00957BB0"/>
    <w:rsid w:val="009642C0"/>
    <w:rsid w:val="00964B21"/>
    <w:rsid w:val="009658FF"/>
    <w:rsid w:val="00973992"/>
    <w:rsid w:val="00984581"/>
    <w:rsid w:val="00985799"/>
    <w:rsid w:val="00985DD5"/>
    <w:rsid w:val="00987D02"/>
    <w:rsid w:val="00991F96"/>
    <w:rsid w:val="009931CE"/>
    <w:rsid w:val="00995BB8"/>
    <w:rsid w:val="00997037"/>
    <w:rsid w:val="009A5D0D"/>
    <w:rsid w:val="009C2597"/>
    <w:rsid w:val="009C4810"/>
    <w:rsid w:val="009D00C9"/>
    <w:rsid w:val="009D0F1A"/>
    <w:rsid w:val="009D1F06"/>
    <w:rsid w:val="009D6739"/>
    <w:rsid w:val="009E65C0"/>
    <w:rsid w:val="009F26AA"/>
    <w:rsid w:val="009F4F0A"/>
    <w:rsid w:val="009F714F"/>
    <w:rsid w:val="00A07A50"/>
    <w:rsid w:val="00A17B9A"/>
    <w:rsid w:val="00A21DAF"/>
    <w:rsid w:val="00A23EAB"/>
    <w:rsid w:val="00A24636"/>
    <w:rsid w:val="00A24C86"/>
    <w:rsid w:val="00A26BDE"/>
    <w:rsid w:val="00A27E77"/>
    <w:rsid w:val="00A30861"/>
    <w:rsid w:val="00A33CA4"/>
    <w:rsid w:val="00A349E1"/>
    <w:rsid w:val="00A41585"/>
    <w:rsid w:val="00A5086E"/>
    <w:rsid w:val="00A52286"/>
    <w:rsid w:val="00A53D94"/>
    <w:rsid w:val="00A62EEC"/>
    <w:rsid w:val="00A657DF"/>
    <w:rsid w:val="00A73BD1"/>
    <w:rsid w:val="00A75A00"/>
    <w:rsid w:val="00A81249"/>
    <w:rsid w:val="00A8503B"/>
    <w:rsid w:val="00A86893"/>
    <w:rsid w:val="00A915C4"/>
    <w:rsid w:val="00A92941"/>
    <w:rsid w:val="00A959DE"/>
    <w:rsid w:val="00AA2AE3"/>
    <w:rsid w:val="00AC3AC6"/>
    <w:rsid w:val="00AD10F3"/>
    <w:rsid w:val="00AD2266"/>
    <w:rsid w:val="00AD2E3B"/>
    <w:rsid w:val="00AD5690"/>
    <w:rsid w:val="00AE2B75"/>
    <w:rsid w:val="00AE63FB"/>
    <w:rsid w:val="00AE6422"/>
    <w:rsid w:val="00AE6904"/>
    <w:rsid w:val="00AE695A"/>
    <w:rsid w:val="00AF60EF"/>
    <w:rsid w:val="00AF6DAA"/>
    <w:rsid w:val="00B032D9"/>
    <w:rsid w:val="00B04283"/>
    <w:rsid w:val="00B04300"/>
    <w:rsid w:val="00B06031"/>
    <w:rsid w:val="00B06879"/>
    <w:rsid w:val="00B11164"/>
    <w:rsid w:val="00B2122F"/>
    <w:rsid w:val="00B21A0E"/>
    <w:rsid w:val="00B21AEE"/>
    <w:rsid w:val="00B221A0"/>
    <w:rsid w:val="00B235F4"/>
    <w:rsid w:val="00B25CD1"/>
    <w:rsid w:val="00B371C1"/>
    <w:rsid w:val="00B40609"/>
    <w:rsid w:val="00B44437"/>
    <w:rsid w:val="00B450E3"/>
    <w:rsid w:val="00B46E18"/>
    <w:rsid w:val="00B47339"/>
    <w:rsid w:val="00B5197E"/>
    <w:rsid w:val="00B55ED5"/>
    <w:rsid w:val="00B56E2F"/>
    <w:rsid w:val="00B6055F"/>
    <w:rsid w:val="00B80F69"/>
    <w:rsid w:val="00B81455"/>
    <w:rsid w:val="00B83914"/>
    <w:rsid w:val="00B84D8B"/>
    <w:rsid w:val="00B90146"/>
    <w:rsid w:val="00B903A2"/>
    <w:rsid w:val="00B930E9"/>
    <w:rsid w:val="00BA174A"/>
    <w:rsid w:val="00BA2042"/>
    <w:rsid w:val="00BA24CA"/>
    <w:rsid w:val="00BA4708"/>
    <w:rsid w:val="00BB4B15"/>
    <w:rsid w:val="00BC1145"/>
    <w:rsid w:val="00BD0E9F"/>
    <w:rsid w:val="00BD6790"/>
    <w:rsid w:val="00BE0233"/>
    <w:rsid w:val="00BE412C"/>
    <w:rsid w:val="00BE4422"/>
    <w:rsid w:val="00BE611D"/>
    <w:rsid w:val="00BF2D52"/>
    <w:rsid w:val="00BF63A1"/>
    <w:rsid w:val="00C07FEC"/>
    <w:rsid w:val="00C14B2E"/>
    <w:rsid w:val="00C175A0"/>
    <w:rsid w:val="00C2035F"/>
    <w:rsid w:val="00C211E4"/>
    <w:rsid w:val="00C22244"/>
    <w:rsid w:val="00C34AC0"/>
    <w:rsid w:val="00C43785"/>
    <w:rsid w:val="00C44600"/>
    <w:rsid w:val="00C44F3A"/>
    <w:rsid w:val="00C45270"/>
    <w:rsid w:val="00C513AB"/>
    <w:rsid w:val="00C54F74"/>
    <w:rsid w:val="00C5515C"/>
    <w:rsid w:val="00C5739E"/>
    <w:rsid w:val="00C601EB"/>
    <w:rsid w:val="00C6057A"/>
    <w:rsid w:val="00C61D8C"/>
    <w:rsid w:val="00C63963"/>
    <w:rsid w:val="00C65344"/>
    <w:rsid w:val="00C66CEF"/>
    <w:rsid w:val="00C70756"/>
    <w:rsid w:val="00C73604"/>
    <w:rsid w:val="00C73D72"/>
    <w:rsid w:val="00C84034"/>
    <w:rsid w:val="00C8790F"/>
    <w:rsid w:val="00C924C0"/>
    <w:rsid w:val="00CA1B80"/>
    <w:rsid w:val="00CB0A5C"/>
    <w:rsid w:val="00CB10E5"/>
    <w:rsid w:val="00CB7331"/>
    <w:rsid w:val="00CB7FA3"/>
    <w:rsid w:val="00CC147C"/>
    <w:rsid w:val="00CC1CF5"/>
    <w:rsid w:val="00CE0D7D"/>
    <w:rsid w:val="00CE1BBD"/>
    <w:rsid w:val="00CE27FB"/>
    <w:rsid w:val="00CF0D9D"/>
    <w:rsid w:val="00D0047A"/>
    <w:rsid w:val="00D02BF4"/>
    <w:rsid w:val="00D03706"/>
    <w:rsid w:val="00D0401E"/>
    <w:rsid w:val="00D04357"/>
    <w:rsid w:val="00D06493"/>
    <w:rsid w:val="00D13F46"/>
    <w:rsid w:val="00D14AF3"/>
    <w:rsid w:val="00D15E47"/>
    <w:rsid w:val="00D22E8D"/>
    <w:rsid w:val="00D23EB2"/>
    <w:rsid w:val="00D305A3"/>
    <w:rsid w:val="00D30E37"/>
    <w:rsid w:val="00D34370"/>
    <w:rsid w:val="00D3627F"/>
    <w:rsid w:val="00D44847"/>
    <w:rsid w:val="00D45275"/>
    <w:rsid w:val="00D457FB"/>
    <w:rsid w:val="00D46BFB"/>
    <w:rsid w:val="00D50F07"/>
    <w:rsid w:val="00D52836"/>
    <w:rsid w:val="00D5371E"/>
    <w:rsid w:val="00D62483"/>
    <w:rsid w:val="00D64F9C"/>
    <w:rsid w:val="00D66552"/>
    <w:rsid w:val="00D742D4"/>
    <w:rsid w:val="00D84BCB"/>
    <w:rsid w:val="00D852DA"/>
    <w:rsid w:val="00D85A2B"/>
    <w:rsid w:val="00D8625F"/>
    <w:rsid w:val="00D96DB4"/>
    <w:rsid w:val="00DA4EF9"/>
    <w:rsid w:val="00DA568C"/>
    <w:rsid w:val="00DB0EA7"/>
    <w:rsid w:val="00DB1429"/>
    <w:rsid w:val="00DB55B1"/>
    <w:rsid w:val="00DB645B"/>
    <w:rsid w:val="00DB67C8"/>
    <w:rsid w:val="00DB7AAD"/>
    <w:rsid w:val="00DC0890"/>
    <w:rsid w:val="00DC44A5"/>
    <w:rsid w:val="00DC7852"/>
    <w:rsid w:val="00DD085B"/>
    <w:rsid w:val="00DD0EF2"/>
    <w:rsid w:val="00DE03BC"/>
    <w:rsid w:val="00DE1838"/>
    <w:rsid w:val="00DE5A15"/>
    <w:rsid w:val="00DF0D75"/>
    <w:rsid w:val="00DF7908"/>
    <w:rsid w:val="00E10FDC"/>
    <w:rsid w:val="00E142D3"/>
    <w:rsid w:val="00E16457"/>
    <w:rsid w:val="00E20661"/>
    <w:rsid w:val="00E2111C"/>
    <w:rsid w:val="00E261E8"/>
    <w:rsid w:val="00E26ED6"/>
    <w:rsid w:val="00E31BC9"/>
    <w:rsid w:val="00E32A47"/>
    <w:rsid w:val="00E358D9"/>
    <w:rsid w:val="00E37715"/>
    <w:rsid w:val="00E44185"/>
    <w:rsid w:val="00E44715"/>
    <w:rsid w:val="00E47737"/>
    <w:rsid w:val="00E53D7D"/>
    <w:rsid w:val="00E545AD"/>
    <w:rsid w:val="00E547F6"/>
    <w:rsid w:val="00E54B8D"/>
    <w:rsid w:val="00E61144"/>
    <w:rsid w:val="00E643C1"/>
    <w:rsid w:val="00E67A8E"/>
    <w:rsid w:val="00E753D8"/>
    <w:rsid w:val="00E82784"/>
    <w:rsid w:val="00E93ABF"/>
    <w:rsid w:val="00E94707"/>
    <w:rsid w:val="00E95B3A"/>
    <w:rsid w:val="00E9754F"/>
    <w:rsid w:val="00EA045F"/>
    <w:rsid w:val="00EA39E0"/>
    <w:rsid w:val="00EA5485"/>
    <w:rsid w:val="00EA6525"/>
    <w:rsid w:val="00EA7EE0"/>
    <w:rsid w:val="00EB04AD"/>
    <w:rsid w:val="00EB2D57"/>
    <w:rsid w:val="00EC0FD9"/>
    <w:rsid w:val="00EC1477"/>
    <w:rsid w:val="00EC5BC9"/>
    <w:rsid w:val="00ED53DE"/>
    <w:rsid w:val="00ED6615"/>
    <w:rsid w:val="00ED79B4"/>
    <w:rsid w:val="00ED7ACB"/>
    <w:rsid w:val="00EE1D71"/>
    <w:rsid w:val="00EE6F3E"/>
    <w:rsid w:val="00EF1DD6"/>
    <w:rsid w:val="00EF54AB"/>
    <w:rsid w:val="00EF5D5E"/>
    <w:rsid w:val="00EF61FC"/>
    <w:rsid w:val="00F01756"/>
    <w:rsid w:val="00F033B5"/>
    <w:rsid w:val="00F0478D"/>
    <w:rsid w:val="00F0631C"/>
    <w:rsid w:val="00F0734F"/>
    <w:rsid w:val="00F1236A"/>
    <w:rsid w:val="00F14169"/>
    <w:rsid w:val="00F16C17"/>
    <w:rsid w:val="00F211BB"/>
    <w:rsid w:val="00F219B6"/>
    <w:rsid w:val="00F22A6F"/>
    <w:rsid w:val="00F24731"/>
    <w:rsid w:val="00F251AA"/>
    <w:rsid w:val="00F35C77"/>
    <w:rsid w:val="00F42C3B"/>
    <w:rsid w:val="00F42E35"/>
    <w:rsid w:val="00F4522B"/>
    <w:rsid w:val="00F51829"/>
    <w:rsid w:val="00F5572C"/>
    <w:rsid w:val="00F640FC"/>
    <w:rsid w:val="00F64302"/>
    <w:rsid w:val="00F6478E"/>
    <w:rsid w:val="00F65872"/>
    <w:rsid w:val="00F65D90"/>
    <w:rsid w:val="00F72A5C"/>
    <w:rsid w:val="00F825BA"/>
    <w:rsid w:val="00FA079F"/>
    <w:rsid w:val="00FA08A0"/>
    <w:rsid w:val="00FB196A"/>
    <w:rsid w:val="00FC26FE"/>
    <w:rsid w:val="00FD654E"/>
    <w:rsid w:val="00FE582F"/>
    <w:rsid w:val="00FE753D"/>
    <w:rsid w:val="00FF4D4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458D"/>
  <w15:docId w15:val="{6FD47FF5-DEE8-4AF2-9A0E-F793039F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49E1"/>
  </w:style>
  <w:style w:type="paragraph" w:styleId="Virsraksts1">
    <w:name w:val="heading 1"/>
    <w:basedOn w:val="Parasts"/>
    <w:next w:val="Parasts"/>
    <w:link w:val="Virsraksts1Rakstz"/>
    <w:uiPriority w:val="9"/>
    <w:qFormat/>
    <w:rsid w:val="00733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3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33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33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33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33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33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33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33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3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3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33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3346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3346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3346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3346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3346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3346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33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3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33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33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3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3346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3346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3346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3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3346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33467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5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6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7A8E"/>
  </w:style>
  <w:style w:type="paragraph" w:styleId="Kjene">
    <w:name w:val="footer"/>
    <w:basedOn w:val="Parasts"/>
    <w:link w:val="KjeneRakstz"/>
    <w:uiPriority w:val="99"/>
    <w:unhideWhenUsed/>
    <w:rsid w:val="00E6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D47D-204B-4217-A5EF-038B8EFF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7092</Words>
  <Characters>4044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Stroža</dc:creator>
  <cp:lastModifiedBy>Dace Stroža</cp:lastModifiedBy>
  <cp:revision>107</cp:revision>
  <dcterms:created xsi:type="dcterms:W3CDTF">2025-08-14T05:44:00Z</dcterms:created>
  <dcterms:modified xsi:type="dcterms:W3CDTF">2025-09-04T12:29:00Z</dcterms:modified>
</cp:coreProperties>
</file>